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sz w:val="84"/>
          <w:szCs w:val="84"/>
        </w:rPr>
      </w:pPr>
      <w:r>
        <w:rPr>
          <w:rFonts w:hint="eastAsia"/>
          <w:sz w:val="84"/>
          <w:szCs w:val="84"/>
        </w:rPr>
        <w:t>2019年度</w:t>
      </w:r>
    </w:p>
    <w:p>
      <w:pPr>
        <w:pStyle w:val="11"/>
        <w:jc w:val="center"/>
        <w:rPr>
          <w:rFonts w:hint="eastAsia"/>
          <w:sz w:val="84"/>
          <w:szCs w:val="84"/>
          <w:lang w:eastAsia="zh-CN"/>
        </w:rPr>
      </w:pPr>
      <w:r>
        <w:rPr>
          <w:rFonts w:hint="eastAsia"/>
          <w:sz w:val="84"/>
          <w:szCs w:val="84"/>
          <w:lang w:eastAsia="zh-CN"/>
        </w:rPr>
        <w:t>湖南省生态环境厅</w:t>
      </w:r>
    </w:p>
    <w:p>
      <w:pPr>
        <w:pStyle w:val="11"/>
        <w:jc w:val="center"/>
        <w:rPr>
          <w:sz w:val="84"/>
          <w:szCs w:val="84"/>
        </w:rPr>
      </w:pPr>
      <w:r>
        <w:rPr>
          <w:rFonts w:hint="eastAsia"/>
          <w:sz w:val="84"/>
          <w:szCs w:val="84"/>
        </w:rPr>
        <w:t>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both"/>
        <w:rPr>
          <w:sz w:val="56"/>
          <w:szCs w:val="56"/>
        </w:rPr>
      </w:pPr>
    </w:p>
    <w:p>
      <w:pPr>
        <w:pStyle w:val="11"/>
        <w:spacing w:line="540" w:lineRule="exact"/>
        <w:jc w:val="center"/>
        <w:rPr>
          <w:sz w:val="56"/>
          <w:szCs w:val="56"/>
        </w:rPr>
      </w:pPr>
    </w:p>
    <w:p>
      <w:pPr>
        <w:pStyle w:val="11"/>
        <w:spacing w:line="520" w:lineRule="exact"/>
        <w:jc w:val="center"/>
        <w:rPr>
          <w:sz w:val="56"/>
          <w:szCs w:val="56"/>
        </w:rPr>
      </w:pPr>
      <w:r>
        <w:rPr>
          <w:rFonts w:hint="eastAsia"/>
          <w:sz w:val="56"/>
          <w:szCs w:val="56"/>
        </w:rPr>
        <w:t>目录</w:t>
      </w:r>
    </w:p>
    <w:p>
      <w:pPr>
        <w:pStyle w:val="11"/>
        <w:keepNext w:val="0"/>
        <w:keepLines w:val="0"/>
        <w:pageBreakBefore w:val="0"/>
        <w:widowControl w:val="0"/>
        <w:kinsoku/>
        <w:wordWrap/>
        <w:overflowPunct/>
        <w:topLinePunct w:val="0"/>
        <w:bidi w:val="0"/>
        <w:snapToGrid/>
        <w:spacing w:line="500" w:lineRule="exact"/>
        <w:textAlignment w:val="auto"/>
        <w:outlineLvl w:val="9"/>
        <w:rPr>
          <w:rFonts w:ascii="仿宋_GB2312" w:hAnsi="仿宋_GB2312" w:cs="仿宋_GB2312"/>
          <w:b/>
          <w:sz w:val="28"/>
          <w:szCs w:val="28"/>
        </w:rPr>
      </w:pPr>
      <w:r>
        <w:rPr>
          <w:rFonts w:hint="eastAsia"/>
          <w:b/>
          <w:sz w:val="28"/>
          <w:szCs w:val="28"/>
        </w:rPr>
        <w:t>第一部分单位概况</w:t>
      </w:r>
    </w:p>
    <w:p>
      <w:pPr>
        <w:pStyle w:val="11"/>
        <w:keepNext w:val="0"/>
        <w:keepLines w:val="0"/>
        <w:pageBreakBefore w:val="0"/>
        <w:widowControl w:val="0"/>
        <w:kinsoku/>
        <w:wordWrap/>
        <w:overflowPunct/>
        <w:topLinePunct w:val="0"/>
        <w:bidi w:val="0"/>
        <w:snapToGrid/>
        <w:spacing w:line="500" w:lineRule="exact"/>
        <w:ind w:firstLine="700" w:firstLineChars="250"/>
        <w:textAlignment w:val="auto"/>
        <w:outlineLvl w:val="9"/>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1"/>
        <w:keepNext w:val="0"/>
        <w:keepLines w:val="0"/>
        <w:pageBreakBefore w:val="0"/>
        <w:widowControl w:val="0"/>
        <w:kinsoku/>
        <w:wordWrap/>
        <w:overflowPunct/>
        <w:topLinePunct w:val="0"/>
        <w:bidi w:val="0"/>
        <w:snapToGrid/>
        <w:spacing w:line="500" w:lineRule="exact"/>
        <w:ind w:firstLine="700" w:firstLineChars="250"/>
        <w:textAlignment w:val="auto"/>
        <w:outlineLvl w:val="9"/>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1"/>
        <w:keepNext w:val="0"/>
        <w:keepLines w:val="0"/>
        <w:pageBreakBefore w:val="0"/>
        <w:widowControl w:val="0"/>
        <w:kinsoku/>
        <w:wordWrap/>
        <w:overflowPunct/>
        <w:topLinePunct w:val="0"/>
        <w:bidi w:val="0"/>
        <w:snapToGrid/>
        <w:spacing w:line="500" w:lineRule="exact"/>
        <w:textAlignment w:val="auto"/>
        <w:outlineLvl w:val="9"/>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2019</w:t>
      </w:r>
      <w:r>
        <w:rPr>
          <w:rFonts w:hint="eastAsia" w:hAnsi="仿宋_GB2312"/>
          <w:b/>
          <w:sz w:val="28"/>
          <w:szCs w:val="28"/>
        </w:rPr>
        <w:t>年度部门决算表</w:t>
      </w:r>
    </w:p>
    <w:p>
      <w:pPr>
        <w:pStyle w:val="11"/>
        <w:keepNext w:val="0"/>
        <w:keepLines w:val="0"/>
        <w:pageBreakBefore w:val="0"/>
        <w:widowControl w:val="0"/>
        <w:kinsoku/>
        <w:wordWrap/>
        <w:overflowPunct/>
        <w:topLinePunct w:val="0"/>
        <w:bidi w:val="0"/>
        <w:snapToGrid/>
        <w:spacing w:line="500" w:lineRule="exact"/>
        <w:ind w:firstLine="700" w:firstLineChars="250"/>
        <w:textAlignment w:val="auto"/>
        <w:outlineLvl w:val="9"/>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1"/>
        <w:keepNext w:val="0"/>
        <w:keepLines w:val="0"/>
        <w:pageBreakBefore w:val="0"/>
        <w:widowControl w:val="0"/>
        <w:kinsoku/>
        <w:wordWrap/>
        <w:overflowPunct/>
        <w:topLinePunct w:val="0"/>
        <w:bidi w:val="0"/>
        <w:snapToGrid/>
        <w:spacing w:line="500" w:lineRule="exact"/>
        <w:ind w:firstLine="700" w:firstLineChars="250"/>
        <w:textAlignment w:val="auto"/>
        <w:outlineLvl w:val="9"/>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1"/>
        <w:keepNext w:val="0"/>
        <w:keepLines w:val="0"/>
        <w:pageBreakBefore w:val="0"/>
        <w:widowControl w:val="0"/>
        <w:kinsoku/>
        <w:wordWrap/>
        <w:overflowPunct/>
        <w:topLinePunct w:val="0"/>
        <w:bidi w:val="0"/>
        <w:snapToGrid/>
        <w:spacing w:line="500" w:lineRule="exact"/>
        <w:ind w:firstLine="700" w:firstLineChars="250"/>
        <w:textAlignment w:val="auto"/>
        <w:outlineLvl w:val="9"/>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1"/>
        <w:keepNext w:val="0"/>
        <w:keepLines w:val="0"/>
        <w:pageBreakBefore w:val="0"/>
        <w:widowControl w:val="0"/>
        <w:kinsoku/>
        <w:wordWrap/>
        <w:overflowPunct/>
        <w:topLinePunct w:val="0"/>
        <w:bidi w:val="0"/>
        <w:snapToGrid/>
        <w:spacing w:line="500" w:lineRule="exact"/>
        <w:ind w:firstLine="700" w:firstLineChars="250"/>
        <w:textAlignment w:val="auto"/>
        <w:outlineLvl w:val="9"/>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1"/>
        <w:keepNext w:val="0"/>
        <w:keepLines w:val="0"/>
        <w:pageBreakBefore w:val="0"/>
        <w:widowControl w:val="0"/>
        <w:kinsoku/>
        <w:wordWrap/>
        <w:overflowPunct/>
        <w:topLinePunct w:val="0"/>
        <w:bidi w:val="0"/>
        <w:snapToGrid/>
        <w:spacing w:line="500" w:lineRule="exact"/>
        <w:ind w:firstLine="700" w:firstLineChars="250"/>
        <w:textAlignment w:val="auto"/>
        <w:outlineLvl w:val="9"/>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1"/>
        <w:keepNext w:val="0"/>
        <w:keepLines w:val="0"/>
        <w:pageBreakBefore w:val="0"/>
        <w:widowControl w:val="0"/>
        <w:kinsoku/>
        <w:wordWrap/>
        <w:overflowPunct/>
        <w:topLinePunct w:val="0"/>
        <w:bidi w:val="0"/>
        <w:snapToGrid/>
        <w:spacing w:line="500" w:lineRule="exact"/>
        <w:ind w:firstLine="700" w:firstLineChars="250"/>
        <w:textAlignment w:val="auto"/>
        <w:outlineLvl w:val="9"/>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1"/>
        <w:keepNext w:val="0"/>
        <w:keepLines w:val="0"/>
        <w:pageBreakBefore w:val="0"/>
        <w:widowControl w:val="0"/>
        <w:kinsoku/>
        <w:wordWrap/>
        <w:overflowPunct/>
        <w:topLinePunct w:val="0"/>
        <w:bidi w:val="0"/>
        <w:snapToGrid/>
        <w:spacing w:line="500" w:lineRule="exact"/>
        <w:ind w:firstLine="700" w:firstLineChars="250"/>
        <w:textAlignment w:val="auto"/>
        <w:outlineLvl w:val="9"/>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1"/>
        <w:keepNext w:val="0"/>
        <w:keepLines w:val="0"/>
        <w:pageBreakBefore w:val="0"/>
        <w:widowControl w:val="0"/>
        <w:kinsoku/>
        <w:wordWrap/>
        <w:overflowPunct/>
        <w:topLinePunct w:val="0"/>
        <w:bidi w:val="0"/>
        <w:snapToGrid/>
        <w:spacing w:line="500" w:lineRule="exact"/>
        <w:ind w:firstLine="700" w:firstLineChars="250"/>
        <w:textAlignment w:val="auto"/>
        <w:outlineLvl w:val="9"/>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1"/>
        <w:keepNext w:val="0"/>
        <w:keepLines w:val="0"/>
        <w:pageBreakBefore w:val="0"/>
        <w:widowControl w:val="0"/>
        <w:kinsoku/>
        <w:wordWrap/>
        <w:overflowPunct/>
        <w:topLinePunct w:val="0"/>
        <w:bidi w:val="0"/>
        <w:snapToGrid/>
        <w:spacing w:line="500" w:lineRule="exact"/>
        <w:textAlignment w:val="auto"/>
        <w:outlineLvl w:val="9"/>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2019</w:t>
      </w:r>
      <w:r>
        <w:rPr>
          <w:rFonts w:hint="eastAsia" w:hAnsi="仿宋_GB2312"/>
          <w:b/>
          <w:sz w:val="28"/>
          <w:szCs w:val="28"/>
        </w:rPr>
        <w:t>年度部门决算情况说明</w:t>
      </w:r>
    </w:p>
    <w:p>
      <w:pPr>
        <w:pStyle w:val="11"/>
        <w:keepNext w:val="0"/>
        <w:keepLines w:val="0"/>
        <w:pageBreakBefore w:val="0"/>
        <w:widowControl w:val="0"/>
        <w:kinsoku/>
        <w:wordWrap/>
        <w:overflowPunct/>
        <w:topLinePunct w:val="0"/>
        <w:bidi w:val="0"/>
        <w:snapToGrid/>
        <w:spacing w:line="500" w:lineRule="exact"/>
        <w:ind w:firstLine="700" w:firstLineChars="250"/>
        <w:textAlignment w:val="auto"/>
        <w:outlineLvl w:val="9"/>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keepNext w:val="0"/>
        <w:keepLines w:val="0"/>
        <w:pageBreakBefore w:val="0"/>
        <w:widowControl w:val="0"/>
        <w:kinsoku/>
        <w:wordWrap/>
        <w:overflowPunct/>
        <w:topLinePunct w:val="0"/>
        <w:bidi w:val="0"/>
        <w:snapToGrid/>
        <w:spacing w:line="500" w:lineRule="exact"/>
        <w:ind w:firstLine="700" w:firstLineChars="250"/>
        <w:jc w:val="left"/>
        <w:textAlignment w:val="auto"/>
        <w:outlineLvl w:val="9"/>
        <w:rPr>
          <w:rFonts w:ascii="仿宋_GB2312" w:hAnsi="仿宋_GB2312" w:cs="仿宋_GB2312"/>
          <w:sz w:val="28"/>
          <w:szCs w:val="28"/>
        </w:rPr>
      </w:pPr>
      <w:r>
        <w:rPr>
          <w:rFonts w:ascii="仿宋_GB2312" w:hAnsi="仿宋_GB2312" w:cs="仿宋_GB2312"/>
          <w:sz w:val="28"/>
          <w:szCs w:val="28"/>
        </w:rPr>
        <w:t>二、收入决算情况说明</w:t>
      </w:r>
    </w:p>
    <w:p>
      <w:pPr>
        <w:keepNext w:val="0"/>
        <w:keepLines w:val="0"/>
        <w:pageBreakBefore w:val="0"/>
        <w:widowControl w:val="0"/>
        <w:kinsoku/>
        <w:wordWrap/>
        <w:overflowPunct/>
        <w:topLinePunct w:val="0"/>
        <w:autoSpaceDE w:val="0"/>
        <w:autoSpaceDN w:val="0"/>
        <w:bidi w:val="0"/>
        <w:adjustRightInd w:val="0"/>
        <w:snapToGrid/>
        <w:spacing w:line="500" w:lineRule="exact"/>
        <w:ind w:firstLine="700" w:firstLineChars="250"/>
        <w:jc w:val="left"/>
        <w:textAlignment w:val="auto"/>
        <w:outlineLvl w:val="9"/>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keepNext w:val="0"/>
        <w:keepLines w:val="0"/>
        <w:pageBreakBefore w:val="0"/>
        <w:widowControl w:val="0"/>
        <w:kinsoku/>
        <w:wordWrap/>
        <w:overflowPunct/>
        <w:topLinePunct w:val="0"/>
        <w:autoSpaceDE w:val="0"/>
        <w:autoSpaceDN w:val="0"/>
        <w:bidi w:val="0"/>
        <w:adjustRightInd w:val="0"/>
        <w:snapToGrid/>
        <w:spacing w:line="500" w:lineRule="exact"/>
        <w:ind w:firstLine="700" w:firstLineChars="250"/>
        <w:jc w:val="left"/>
        <w:textAlignment w:val="auto"/>
        <w:outlineLvl w:val="9"/>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keepNext w:val="0"/>
        <w:keepLines w:val="0"/>
        <w:pageBreakBefore w:val="0"/>
        <w:widowControl w:val="0"/>
        <w:kinsoku/>
        <w:wordWrap/>
        <w:overflowPunct/>
        <w:topLinePunct w:val="0"/>
        <w:autoSpaceDE w:val="0"/>
        <w:autoSpaceDN w:val="0"/>
        <w:bidi w:val="0"/>
        <w:adjustRightInd w:val="0"/>
        <w:snapToGrid/>
        <w:spacing w:line="500" w:lineRule="exact"/>
        <w:ind w:firstLine="700" w:firstLineChars="250"/>
        <w:jc w:val="left"/>
        <w:textAlignment w:val="auto"/>
        <w:outlineLvl w:val="9"/>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keepNext w:val="0"/>
        <w:keepLines w:val="0"/>
        <w:pageBreakBefore w:val="0"/>
        <w:widowControl w:val="0"/>
        <w:kinsoku/>
        <w:wordWrap/>
        <w:overflowPunct/>
        <w:topLinePunct w:val="0"/>
        <w:autoSpaceDE w:val="0"/>
        <w:autoSpaceDN w:val="0"/>
        <w:bidi w:val="0"/>
        <w:adjustRightInd w:val="0"/>
        <w:snapToGrid/>
        <w:spacing w:line="500" w:lineRule="exact"/>
        <w:ind w:firstLine="700" w:firstLineChars="250"/>
        <w:jc w:val="left"/>
        <w:textAlignment w:val="auto"/>
        <w:outlineLvl w:val="9"/>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500" w:lineRule="exact"/>
        <w:ind w:firstLine="700" w:firstLineChars="250"/>
        <w:jc w:val="left"/>
        <w:textAlignment w:val="auto"/>
        <w:outlineLvl w:val="9"/>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keepNext w:val="0"/>
        <w:keepLines w:val="0"/>
        <w:pageBreakBefore w:val="0"/>
        <w:widowControl w:val="0"/>
        <w:kinsoku/>
        <w:wordWrap/>
        <w:overflowPunct/>
        <w:topLinePunct w:val="0"/>
        <w:autoSpaceDE w:val="0"/>
        <w:autoSpaceDN w:val="0"/>
        <w:bidi w:val="0"/>
        <w:adjustRightInd w:val="0"/>
        <w:snapToGrid/>
        <w:spacing w:line="500" w:lineRule="exact"/>
        <w:ind w:firstLine="700" w:firstLineChars="250"/>
        <w:jc w:val="left"/>
        <w:textAlignment w:val="auto"/>
        <w:outlineLvl w:val="9"/>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keepNext w:val="0"/>
        <w:keepLines w:val="0"/>
        <w:pageBreakBefore w:val="0"/>
        <w:widowControl w:val="0"/>
        <w:kinsoku/>
        <w:wordWrap/>
        <w:overflowPunct/>
        <w:topLinePunct w:val="0"/>
        <w:autoSpaceDE w:val="0"/>
        <w:autoSpaceDN w:val="0"/>
        <w:bidi w:val="0"/>
        <w:adjustRightInd w:val="0"/>
        <w:snapToGrid/>
        <w:spacing w:line="500" w:lineRule="exact"/>
        <w:ind w:firstLine="700" w:firstLineChars="250"/>
        <w:jc w:val="left"/>
        <w:textAlignment w:val="auto"/>
        <w:outlineLvl w:val="9"/>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、预算绩效情况说明</w:t>
      </w:r>
    </w:p>
    <w:p>
      <w:pPr>
        <w:keepNext w:val="0"/>
        <w:keepLines w:val="0"/>
        <w:pageBreakBefore w:val="0"/>
        <w:widowControl w:val="0"/>
        <w:kinsoku/>
        <w:wordWrap/>
        <w:overflowPunct/>
        <w:topLinePunct w:val="0"/>
        <w:autoSpaceDE w:val="0"/>
        <w:autoSpaceDN w:val="0"/>
        <w:bidi w:val="0"/>
        <w:adjustRightInd w:val="0"/>
        <w:snapToGrid/>
        <w:spacing w:line="500" w:lineRule="exact"/>
        <w:ind w:firstLine="700" w:firstLineChars="250"/>
        <w:jc w:val="left"/>
        <w:textAlignment w:val="auto"/>
        <w:outlineLvl w:val="9"/>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ascii="仿宋_GB2312" w:hAnsi="仿宋_GB2312" w:cs="仿宋_GB2312"/>
          <w:color w:val="000000"/>
          <w:kern w:val="0"/>
          <w:sz w:val="28"/>
          <w:szCs w:val="28"/>
        </w:rPr>
        <w:t>、其他重要事项情况说明</w:t>
      </w:r>
    </w:p>
    <w:p>
      <w:pPr>
        <w:keepNext w:val="0"/>
        <w:keepLines w:val="0"/>
        <w:pageBreakBefore w:val="0"/>
        <w:widowControl w:val="0"/>
        <w:kinsoku/>
        <w:wordWrap/>
        <w:overflowPunct/>
        <w:topLinePunct w:val="0"/>
        <w:autoSpaceDE w:val="0"/>
        <w:autoSpaceDN w:val="0"/>
        <w:bidi w:val="0"/>
        <w:adjustRightInd w:val="0"/>
        <w:snapToGrid/>
        <w:spacing w:line="500" w:lineRule="exact"/>
        <w:jc w:val="left"/>
        <w:textAlignment w:val="auto"/>
        <w:outlineLvl w:val="9"/>
        <w:rPr>
          <w:rFonts w:ascii="黑体" w:hAnsi="黑体" w:eastAsia="黑体" w:cs="仿宋_GB2312"/>
          <w:b/>
          <w:color w:val="000000"/>
          <w:kern w:val="0"/>
          <w:sz w:val="28"/>
          <w:szCs w:val="28"/>
        </w:rPr>
      </w:pPr>
      <w:r>
        <w:rPr>
          <w:rFonts w:ascii="黑体" w:hAnsi="黑体" w:eastAsia="黑体" w:cs="黑体"/>
          <w:b/>
          <w:color w:val="000000"/>
          <w:kern w:val="0"/>
          <w:sz w:val="28"/>
          <w:szCs w:val="28"/>
        </w:rPr>
        <w:t>第四部分名词解释</w:t>
      </w:r>
    </w:p>
    <w:p>
      <w:pPr>
        <w:keepNext w:val="0"/>
        <w:keepLines w:val="0"/>
        <w:pageBreakBefore w:val="0"/>
        <w:widowControl w:val="0"/>
        <w:kinsoku/>
        <w:wordWrap/>
        <w:overflowPunct/>
        <w:topLinePunct w:val="0"/>
        <w:bidi w:val="0"/>
        <w:snapToGrid/>
        <w:spacing w:line="500" w:lineRule="exact"/>
        <w:jc w:val="left"/>
        <w:textAlignment w:val="auto"/>
        <w:outlineLvl w:val="9"/>
        <w:rPr>
          <w:rFonts w:ascii="黑体" w:hAnsi="黑体" w:eastAsia="黑体" w:cs="仿宋_GB2312"/>
          <w:b/>
          <w:color w:val="000000"/>
          <w:kern w:val="0"/>
          <w:sz w:val="28"/>
          <w:szCs w:val="28"/>
        </w:rPr>
      </w:pPr>
      <w:r>
        <w:rPr>
          <w:rFonts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1"/>
        <w:jc w:val="center"/>
        <w:rPr>
          <w:sz w:val="84"/>
          <w:szCs w:val="84"/>
        </w:rPr>
      </w:pPr>
      <w:r>
        <w:rPr>
          <w:rFonts w:hint="eastAsia"/>
          <w:sz w:val="84"/>
          <w:szCs w:val="84"/>
        </w:rPr>
        <w:t>第一部分</w:t>
      </w:r>
      <w:r>
        <w:rPr>
          <w:sz w:val="84"/>
          <w:szCs w:val="84"/>
        </w:rPr>
        <w:t xml:space="preserve"> </w:t>
      </w:r>
    </w:p>
    <w:p>
      <w:pPr>
        <w:pStyle w:val="11"/>
        <w:jc w:val="center"/>
        <w:rPr>
          <w:sz w:val="84"/>
          <w:szCs w:val="84"/>
        </w:rPr>
      </w:pPr>
    </w:p>
    <w:p>
      <w:pPr>
        <w:pStyle w:val="11"/>
        <w:jc w:val="center"/>
        <w:rPr>
          <w:sz w:val="84"/>
          <w:szCs w:val="84"/>
        </w:rPr>
      </w:pP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2"/>
        <w:ind w:left="720" w:firstLine="0" w:firstLineChars="0"/>
        <w:jc w:val="left"/>
        <w:rPr>
          <w:rFonts w:ascii="黑体" w:hAnsi="黑体" w:eastAsia="黑体"/>
          <w:sz w:val="32"/>
          <w:szCs w:val="32"/>
        </w:rPr>
      </w:pPr>
    </w:p>
    <w:p>
      <w:pPr>
        <w:pStyle w:val="12"/>
        <w:numPr>
          <w:ilvl w:val="0"/>
          <w:numId w:val="1"/>
        </w:numPr>
        <w:ind w:firstLineChars="0"/>
        <w:jc w:val="left"/>
        <w:rPr>
          <w:rFonts w:hint="eastAsia" w:ascii="仿宋_GB2312" w:hAnsi="仿宋_GB2312" w:eastAsia="仿宋_GB2312" w:cs="仿宋_GB2312"/>
          <w:color w:val="333333"/>
          <w:sz w:val="32"/>
          <w:szCs w:val="32"/>
          <w:shd w:val="clear" w:color="auto" w:fill="FFFFFF"/>
          <w:lang w:eastAsia="zh-CN"/>
        </w:rPr>
      </w:pPr>
      <w:r>
        <w:rPr>
          <w:rFonts w:ascii="黑体" w:hAnsi="黑体" w:eastAsia="黑体"/>
          <w:sz w:val="32"/>
          <w:szCs w:val="32"/>
        </w:rPr>
        <w:t>部门职责</w:t>
      </w:r>
    </w:p>
    <w:p>
      <w:pPr>
        <w:pStyle w:val="6"/>
        <w:shd w:val="clear" w:color="auto" w:fill="FFFFFF"/>
        <w:adjustRightInd w:val="0"/>
        <w:snapToGrid w:val="0"/>
        <w:spacing w:before="0" w:beforeAutospacing="0" w:after="0" w:afterAutospacing="0" w:line="360" w:lineRule="auto"/>
        <w:ind w:firstLine="560" w:firstLineChars="200"/>
        <w:rPr>
          <w:rFonts w:hint="eastAsia" w:ascii="仿宋_GB2312" w:hAnsi="仿宋_GB2312" w:cs="仿宋_GB2312" w:eastAsiaTheme="minorEastAsia"/>
          <w:color w:val="000000"/>
          <w:kern w:val="0"/>
          <w:sz w:val="28"/>
          <w:szCs w:val="28"/>
          <w:lang w:val="en-US" w:eastAsia="zh-CN" w:bidi="ar-SA"/>
        </w:rPr>
      </w:pPr>
      <w:r>
        <w:rPr>
          <w:rFonts w:hint="eastAsia" w:ascii="仿宋_GB2312" w:hAnsi="仿宋_GB2312" w:cs="仿宋_GB2312" w:eastAsiaTheme="minorEastAsia"/>
          <w:color w:val="000000"/>
          <w:kern w:val="0"/>
          <w:sz w:val="28"/>
          <w:szCs w:val="28"/>
          <w:lang w:val="en-US" w:eastAsia="zh-CN" w:bidi="ar-SA"/>
        </w:rPr>
        <w:t>1、贯彻执行国家生态环境基本制度。会同有关部门拟订生态环境政策、规划并组织实施，起草生态环境有关地方性法规和省政府规章草案；会同有关部门编制并监督实施重点区域、流域、饮用水水源地生态环境规划和水功能区划；组织拟订生态环境地方标准、基准和技术规范。</w:t>
      </w:r>
    </w:p>
    <w:p>
      <w:pPr>
        <w:pStyle w:val="6"/>
        <w:shd w:val="clear" w:color="auto" w:fill="FFFFFF"/>
        <w:adjustRightInd w:val="0"/>
        <w:snapToGrid w:val="0"/>
        <w:spacing w:before="0" w:beforeAutospacing="0" w:after="0" w:afterAutospacing="0" w:line="360" w:lineRule="auto"/>
        <w:ind w:firstLine="560" w:firstLineChars="200"/>
        <w:rPr>
          <w:rFonts w:hint="eastAsia" w:ascii="仿宋_GB2312" w:hAnsi="仿宋_GB2312" w:cs="仿宋_GB2312" w:eastAsiaTheme="minorEastAsia"/>
          <w:color w:val="000000"/>
          <w:kern w:val="0"/>
          <w:sz w:val="28"/>
          <w:szCs w:val="28"/>
          <w:lang w:val="en-US" w:eastAsia="zh-CN" w:bidi="ar-SA"/>
        </w:rPr>
      </w:pPr>
      <w:r>
        <w:rPr>
          <w:rFonts w:hint="eastAsia" w:ascii="仿宋_GB2312" w:hAnsi="仿宋_GB2312" w:cs="仿宋_GB2312" w:eastAsiaTheme="minorEastAsia"/>
          <w:color w:val="000000"/>
          <w:kern w:val="0"/>
          <w:sz w:val="28"/>
          <w:szCs w:val="28"/>
          <w:lang w:val="en-US" w:eastAsia="zh-CN" w:bidi="ar-SA"/>
        </w:rPr>
        <w:t>2、负责重大生态环境问题的统筹协调和监督管理。牵头协调较大和重大环境污染事故和生态破坏事件的调查处理，指导协调较大和重大突发生态环境事件的应急、预警工作，牵头指导实施生态环境损害赔偿制度，协调解决有关跨区域环境污染纠纷；统筹协调重点区域、流域生态环境保护工作。</w:t>
      </w:r>
    </w:p>
    <w:p>
      <w:pPr>
        <w:pStyle w:val="6"/>
        <w:shd w:val="clear" w:color="auto" w:fill="FFFFFF"/>
        <w:adjustRightInd w:val="0"/>
        <w:snapToGrid w:val="0"/>
        <w:spacing w:before="0" w:beforeAutospacing="0" w:after="0" w:afterAutospacing="0" w:line="360" w:lineRule="auto"/>
        <w:ind w:firstLine="560" w:firstLineChars="200"/>
        <w:rPr>
          <w:rFonts w:hint="eastAsia" w:ascii="仿宋_GB2312" w:hAnsi="仿宋_GB2312" w:cs="仿宋_GB2312" w:eastAsiaTheme="minorEastAsia"/>
          <w:color w:val="000000"/>
          <w:kern w:val="0"/>
          <w:sz w:val="28"/>
          <w:szCs w:val="28"/>
          <w:lang w:val="en-US" w:eastAsia="zh-CN" w:bidi="ar-SA"/>
        </w:rPr>
      </w:pPr>
      <w:r>
        <w:rPr>
          <w:rFonts w:hint="eastAsia" w:ascii="仿宋_GB2312" w:hAnsi="仿宋_GB2312" w:cs="仿宋_GB2312" w:eastAsiaTheme="minorEastAsia"/>
          <w:color w:val="000000"/>
          <w:kern w:val="0"/>
          <w:sz w:val="28"/>
          <w:szCs w:val="28"/>
          <w:lang w:val="en-US" w:eastAsia="zh-CN" w:bidi="ar-SA"/>
        </w:rPr>
        <w:t>3、负责监督管理减排目标的落实。组织拟订各类污染物排放总量控制、排污许可证制度并监督实施，确定大气、水等纳污能力，提出实施总量控制的污染物名称和控制指标，监督检查各地污染物减排任务完成情况，实施生态环境保护目标责任制。</w:t>
      </w:r>
    </w:p>
    <w:p>
      <w:pPr>
        <w:pStyle w:val="6"/>
        <w:shd w:val="clear" w:color="auto" w:fill="FFFFFF"/>
        <w:adjustRightInd w:val="0"/>
        <w:snapToGrid w:val="0"/>
        <w:spacing w:before="0" w:beforeAutospacing="0" w:after="0" w:afterAutospacing="0" w:line="360" w:lineRule="auto"/>
        <w:ind w:firstLine="560" w:firstLineChars="200"/>
        <w:rPr>
          <w:rFonts w:hint="eastAsia" w:ascii="仿宋_GB2312" w:hAnsi="仿宋_GB2312" w:cs="仿宋_GB2312" w:eastAsiaTheme="minorEastAsia"/>
          <w:color w:val="000000"/>
          <w:kern w:val="0"/>
          <w:sz w:val="28"/>
          <w:szCs w:val="28"/>
          <w:lang w:val="en-US" w:eastAsia="zh-CN" w:bidi="ar-SA"/>
        </w:rPr>
      </w:pPr>
      <w:r>
        <w:rPr>
          <w:rFonts w:hint="eastAsia" w:ascii="仿宋_GB2312" w:hAnsi="仿宋_GB2312" w:cs="仿宋_GB2312" w:eastAsiaTheme="minorEastAsia"/>
          <w:color w:val="000000"/>
          <w:kern w:val="0"/>
          <w:sz w:val="28"/>
          <w:szCs w:val="28"/>
          <w:lang w:val="en-US" w:eastAsia="zh-CN" w:bidi="ar-SA"/>
        </w:rPr>
        <w:t>4、负责提出生态环境领域固定资产投资规模和方向、生态环境部管理的中央专项资金和省财政性资金安排的意见，按规定权限审批、核准规划内和年度计划规模内生态环境领域固定资产投资项目，配合有关部门做好组织实施和监督工作。参与指导推动循环经济和生态环保产业发展。</w:t>
      </w:r>
    </w:p>
    <w:p>
      <w:pPr>
        <w:pStyle w:val="6"/>
        <w:shd w:val="clear" w:color="auto" w:fill="FFFFFF"/>
        <w:adjustRightInd w:val="0"/>
        <w:snapToGrid w:val="0"/>
        <w:spacing w:before="0" w:beforeAutospacing="0" w:after="0" w:afterAutospacing="0" w:line="360" w:lineRule="auto"/>
        <w:ind w:firstLine="560" w:firstLineChars="200"/>
        <w:rPr>
          <w:rFonts w:hint="eastAsia" w:ascii="仿宋_GB2312" w:hAnsi="仿宋_GB2312" w:cs="仿宋_GB2312" w:eastAsiaTheme="minorEastAsia"/>
          <w:color w:val="000000"/>
          <w:kern w:val="0"/>
          <w:sz w:val="28"/>
          <w:szCs w:val="28"/>
          <w:lang w:val="en-US" w:eastAsia="zh-CN" w:bidi="ar-SA"/>
        </w:rPr>
      </w:pPr>
      <w:r>
        <w:rPr>
          <w:rFonts w:hint="eastAsia" w:ascii="仿宋_GB2312" w:hAnsi="仿宋_GB2312" w:cs="仿宋_GB2312" w:eastAsiaTheme="minorEastAsia"/>
          <w:color w:val="000000"/>
          <w:kern w:val="0"/>
          <w:sz w:val="28"/>
          <w:szCs w:val="28"/>
          <w:lang w:val="en-US" w:eastAsia="zh-CN" w:bidi="ar-SA"/>
        </w:rPr>
        <w:t>5、负责环境污染防治的监督管理。组织拟订大气、水、土壤、噪声、光、恶臭、固体废物、化学品、机动车等的污染防治管理制度并监督实施。会同有关部门监督管理饮用水水源地生态环境保护工作，组织指导城乡生态环境综合整治工作，监督指导农业面源污染治理工作。监督指导区域大气环境保护工作，组织实施区域大气污染联防联控协作机制。</w:t>
      </w:r>
    </w:p>
    <w:p>
      <w:pPr>
        <w:pStyle w:val="6"/>
        <w:shd w:val="clear" w:color="auto" w:fill="FFFFFF"/>
        <w:adjustRightInd w:val="0"/>
        <w:snapToGrid w:val="0"/>
        <w:spacing w:before="0" w:beforeAutospacing="0" w:after="0" w:afterAutospacing="0" w:line="360" w:lineRule="auto"/>
        <w:ind w:firstLine="560" w:firstLineChars="200"/>
        <w:rPr>
          <w:rFonts w:hint="eastAsia" w:ascii="仿宋_GB2312" w:hAnsi="仿宋_GB2312" w:cs="仿宋_GB2312" w:eastAsiaTheme="minorEastAsia"/>
          <w:color w:val="000000"/>
          <w:kern w:val="0"/>
          <w:sz w:val="28"/>
          <w:szCs w:val="28"/>
          <w:lang w:val="en-US" w:eastAsia="zh-CN" w:bidi="ar-SA"/>
        </w:rPr>
      </w:pPr>
      <w:r>
        <w:rPr>
          <w:rFonts w:hint="eastAsia" w:ascii="仿宋_GB2312" w:hAnsi="仿宋_GB2312" w:cs="仿宋_GB2312" w:eastAsiaTheme="minorEastAsia"/>
          <w:color w:val="000000"/>
          <w:kern w:val="0"/>
          <w:sz w:val="28"/>
          <w:szCs w:val="28"/>
          <w:lang w:val="en-US" w:eastAsia="zh-CN" w:bidi="ar-SA"/>
        </w:rPr>
        <w:t>6、指导协调和监督生态保护修复工作。组织编制生态保护规划，监督对生态环境有影响的自然资源开发利用活动、重要生态环境建设和生态破坏恢复工作。组织拟订各类自然保护地生态环境监管制度并监督执法。监督野生动植物保护、湿地生态环境保护、荒漠化防治等工作。指导协调和监督农村生态环境保护，监督生物技术环境安全，牵头生物物种（含遗传资源）工作，组织协调生物多样性保护工作，参与生态保护补偿工作。</w:t>
      </w:r>
    </w:p>
    <w:p>
      <w:pPr>
        <w:pStyle w:val="6"/>
        <w:shd w:val="clear" w:color="auto" w:fill="FFFFFF"/>
        <w:adjustRightInd w:val="0"/>
        <w:snapToGrid w:val="0"/>
        <w:spacing w:before="0" w:beforeAutospacing="0" w:after="0" w:afterAutospacing="0" w:line="360" w:lineRule="auto"/>
        <w:ind w:firstLine="560" w:firstLineChars="200"/>
        <w:rPr>
          <w:rFonts w:hint="eastAsia" w:ascii="仿宋_GB2312" w:hAnsi="仿宋_GB2312" w:cs="仿宋_GB2312" w:eastAsiaTheme="minorEastAsia"/>
          <w:color w:val="000000"/>
          <w:kern w:val="0"/>
          <w:sz w:val="28"/>
          <w:szCs w:val="28"/>
          <w:lang w:val="en-US" w:eastAsia="zh-CN" w:bidi="ar-SA"/>
        </w:rPr>
      </w:pPr>
      <w:r>
        <w:rPr>
          <w:rFonts w:hint="eastAsia" w:ascii="仿宋_GB2312" w:hAnsi="仿宋_GB2312" w:cs="仿宋_GB2312" w:eastAsiaTheme="minorEastAsia"/>
          <w:color w:val="000000"/>
          <w:kern w:val="0"/>
          <w:sz w:val="28"/>
          <w:szCs w:val="28"/>
          <w:lang w:val="en-US" w:eastAsia="zh-CN" w:bidi="ar-SA"/>
        </w:rPr>
        <w:t>7、负责核与辐射安全的监督管理。贯彻实施国家核与辐射安全政策、规划、标准，牵头负责核安全工作协调机制有关工作，参与核事故应急处理，负责辐射环境事故应急处理工作。监督管理核设施和放射源安全，监督管理核设施、核技术应用、电磁辐射、伴有放射性矿产资源开发利用中的污染防治。对核材料管制和民用核安全设备设计、制造、安装及无损检验活动实施监督管理。</w:t>
      </w:r>
    </w:p>
    <w:p>
      <w:pPr>
        <w:pStyle w:val="6"/>
        <w:shd w:val="clear" w:color="auto" w:fill="FFFFFF"/>
        <w:adjustRightInd w:val="0"/>
        <w:snapToGrid w:val="0"/>
        <w:spacing w:before="0" w:beforeAutospacing="0" w:after="0" w:afterAutospacing="0" w:line="360" w:lineRule="auto"/>
        <w:ind w:firstLine="560" w:firstLineChars="200"/>
        <w:rPr>
          <w:rFonts w:hint="eastAsia" w:ascii="仿宋_GB2312" w:hAnsi="仿宋_GB2312" w:cs="仿宋_GB2312" w:eastAsiaTheme="minorEastAsia"/>
          <w:color w:val="000000"/>
          <w:kern w:val="0"/>
          <w:sz w:val="28"/>
          <w:szCs w:val="28"/>
          <w:lang w:val="en-US" w:eastAsia="zh-CN" w:bidi="ar-SA"/>
        </w:rPr>
      </w:pPr>
      <w:r>
        <w:rPr>
          <w:rFonts w:hint="eastAsia" w:ascii="仿宋_GB2312" w:hAnsi="仿宋_GB2312" w:cs="仿宋_GB2312" w:eastAsiaTheme="minorEastAsia"/>
          <w:color w:val="000000"/>
          <w:kern w:val="0"/>
          <w:sz w:val="28"/>
          <w:szCs w:val="28"/>
          <w:lang w:val="en-US" w:eastAsia="zh-CN" w:bidi="ar-SA"/>
        </w:rPr>
        <w:t>8、负责生态环境准入的监督管理。受省政府委托对重大经济和技术政策、发展规划以及重大经济开发计划进行环境影响评价。按规定审批或审查重大开发建设区域、规划、项目环境影响评价文件。拟订并组织实施生态环境准入清单。</w:t>
      </w:r>
    </w:p>
    <w:p>
      <w:pPr>
        <w:pStyle w:val="6"/>
        <w:shd w:val="clear" w:color="auto" w:fill="FFFFFF"/>
        <w:adjustRightInd w:val="0"/>
        <w:snapToGrid w:val="0"/>
        <w:spacing w:before="0" w:beforeAutospacing="0" w:after="0" w:afterAutospacing="0" w:line="360" w:lineRule="auto"/>
        <w:ind w:firstLine="560" w:firstLineChars="200"/>
        <w:rPr>
          <w:rFonts w:hint="eastAsia" w:ascii="仿宋_GB2312" w:hAnsi="仿宋_GB2312" w:cs="仿宋_GB2312" w:eastAsiaTheme="minorEastAsia"/>
          <w:color w:val="000000"/>
          <w:kern w:val="0"/>
          <w:sz w:val="28"/>
          <w:szCs w:val="28"/>
          <w:lang w:val="en-US" w:eastAsia="zh-CN" w:bidi="ar-SA"/>
        </w:rPr>
      </w:pPr>
      <w:r>
        <w:rPr>
          <w:rFonts w:hint="eastAsia" w:ascii="仿宋_GB2312" w:hAnsi="仿宋_GB2312" w:cs="仿宋_GB2312" w:eastAsiaTheme="minorEastAsia"/>
          <w:color w:val="000000"/>
          <w:kern w:val="0"/>
          <w:sz w:val="28"/>
          <w:szCs w:val="28"/>
          <w:lang w:val="en-US" w:eastAsia="zh-CN" w:bidi="ar-SA"/>
        </w:rPr>
        <w:t>9、负责生态环境监测工作。制定生态环境监测制度和规范、拟订相关标准并监督实施。会同有关部门统一规划省控生态环境质量监测站点设置，组织实施生态环境质量监测、污染源监督性监测、温室气体减排监测、应急监测。组织对生态环境质量状况进行调查评价、预警预测，组织建设和管理生态环境监测网和生态环境信息网。建立和实行生态环境质量公告制度，统一发布生态环境综合性报告和重大生态环境信息。</w:t>
      </w:r>
    </w:p>
    <w:p>
      <w:pPr>
        <w:pStyle w:val="6"/>
        <w:shd w:val="clear" w:color="auto" w:fill="FFFFFF"/>
        <w:adjustRightInd w:val="0"/>
        <w:snapToGrid w:val="0"/>
        <w:spacing w:before="0" w:beforeAutospacing="0" w:after="0" w:afterAutospacing="0" w:line="360" w:lineRule="auto"/>
        <w:ind w:firstLine="560" w:firstLineChars="200"/>
        <w:rPr>
          <w:rFonts w:hint="eastAsia" w:ascii="仿宋_GB2312" w:hAnsi="仿宋_GB2312" w:cs="仿宋_GB2312" w:eastAsiaTheme="minorEastAsia"/>
          <w:color w:val="000000"/>
          <w:kern w:val="0"/>
          <w:sz w:val="28"/>
          <w:szCs w:val="28"/>
          <w:lang w:val="en-US" w:eastAsia="zh-CN" w:bidi="ar-SA"/>
        </w:rPr>
      </w:pPr>
      <w:r>
        <w:rPr>
          <w:rFonts w:hint="eastAsia" w:ascii="仿宋_GB2312" w:hAnsi="仿宋_GB2312" w:cs="仿宋_GB2312" w:eastAsiaTheme="minorEastAsia"/>
          <w:color w:val="000000"/>
          <w:kern w:val="0"/>
          <w:sz w:val="28"/>
          <w:szCs w:val="28"/>
          <w:lang w:val="en-US" w:eastAsia="zh-CN" w:bidi="ar-SA"/>
        </w:rPr>
        <w:t>10、负责应对气候变化工作。组织实施应对气候变化及温室气体减排重大战略、规划和政策，组织协调履行国家应对气候变化省内相关义务。</w:t>
      </w:r>
    </w:p>
    <w:p>
      <w:pPr>
        <w:pStyle w:val="6"/>
        <w:shd w:val="clear" w:color="auto" w:fill="FFFFFF"/>
        <w:adjustRightInd w:val="0"/>
        <w:snapToGrid w:val="0"/>
        <w:spacing w:before="0" w:beforeAutospacing="0" w:after="0" w:afterAutospacing="0" w:line="360" w:lineRule="auto"/>
        <w:ind w:firstLine="560" w:firstLineChars="200"/>
        <w:rPr>
          <w:rFonts w:hint="eastAsia" w:ascii="仿宋_GB2312" w:hAnsi="仿宋_GB2312" w:cs="仿宋_GB2312" w:eastAsiaTheme="minorEastAsia"/>
          <w:color w:val="000000"/>
          <w:kern w:val="0"/>
          <w:sz w:val="28"/>
          <w:szCs w:val="28"/>
          <w:lang w:val="en-US" w:eastAsia="zh-CN" w:bidi="ar-SA"/>
        </w:rPr>
      </w:pPr>
      <w:r>
        <w:rPr>
          <w:rFonts w:hint="eastAsia" w:ascii="仿宋_GB2312" w:hAnsi="仿宋_GB2312" w:cs="仿宋_GB2312" w:eastAsiaTheme="minorEastAsia"/>
          <w:color w:val="000000"/>
          <w:kern w:val="0"/>
          <w:sz w:val="28"/>
          <w:szCs w:val="28"/>
          <w:lang w:val="en-US" w:eastAsia="zh-CN" w:bidi="ar-SA"/>
        </w:rPr>
        <w:t>11、组织开展生态环境保护督察。建立健全生态环境保护督察制度，组织协调生态环境保护督察工作，根据省委、省政府授权，对市、县党委和政府及有关部门贯彻落实中央和省委生态环境保护决策部署情况进行督察问责。</w:t>
      </w:r>
    </w:p>
    <w:p>
      <w:pPr>
        <w:pStyle w:val="6"/>
        <w:shd w:val="clear" w:color="auto" w:fill="FFFFFF"/>
        <w:adjustRightInd w:val="0"/>
        <w:snapToGrid w:val="0"/>
        <w:spacing w:before="0" w:beforeAutospacing="0" w:after="0" w:afterAutospacing="0" w:line="360" w:lineRule="auto"/>
        <w:ind w:firstLine="560" w:firstLineChars="200"/>
        <w:rPr>
          <w:rFonts w:hint="eastAsia" w:ascii="仿宋_GB2312" w:hAnsi="仿宋_GB2312" w:cs="仿宋_GB2312" w:eastAsiaTheme="minorEastAsia"/>
          <w:color w:val="000000"/>
          <w:kern w:val="0"/>
          <w:sz w:val="28"/>
          <w:szCs w:val="28"/>
          <w:lang w:val="en-US" w:eastAsia="zh-CN" w:bidi="ar-SA"/>
        </w:rPr>
      </w:pPr>
      <w:r>
        <w:rPr>
          <w:rFonts w:hint="eastAsia" w:ascii="仿宋_GB2312" w:hAnsi="仿宋_GB2312" w:cs="仿宋_GB2312" w:eastAsiaTheme="minorEastAsia"/>
          <w:color w:val="000000"/>
          <w:kern w:val="0"/>
          <w:sz w:val="28"/>
          <w:szCs w:val="28"/>
          <w:lang w:val="en-US" w:eastAsia="zh-CN" w:bidi="ar-SA"/>
        </w:rPr>
        <w:t>12、统一负责生态环境监督执法。组织开展生态环境保护执法检查活动。查处重大生态环境违法问题。指导全省生态环境保护综合执法队伍建设和业务工作。</w:t>
      </w:r>
    </w:p>
    <w:p>
      <w:pPr>
        <w:pStyle w:val="6"/>
        <w:shd w:val="clear" w:color="auto" w:fill="FFFFFF"/>
        <w:adjustRightInd w:val="0"/>
        <w:snapToGrid w:val="0"/>
        <w:spacing w:before="0" w:beforeAutospacing="0" w:after="0" w:afterAutospacing="0" w:line="360" w:lineRule="auto"/>
        <w:ind w:firstLine="560" w:firstLineChars="200"/>
        <w:rPr>
          <w:rFonts w:hint="eastAsia" w:ascii="仿宋_GB2312" w:hAnsi="仿宋_GB2312" w:cs="仿宋_GB2312" w:eastAsiaTheme="minorEastAsia"/>
          <w:color w:val="000000"/>
          <w:kern w:val="0"/>
          <w:sz w:val="28"/>
          <w:szCs w:val="28"/>
          <w:lang w:val="en-US" w:eastAsia="zh-CN" w:bidi="ar-SA"/>
        </w:rPr>
      </w:pPr>
      <w:r>
        <w:rPr>
          <w:rFonts w:hint="eastAsia" w:ascii="仿宋_GB2312" w:hAnsi="仿宋_GB2312" w:cs="仿宋_GB2312" w:eastAsiaTheme="minorEastAsia"/>
          <w:color w:val="000000"/>
          <w:kern w:val="0"/>
          <w:sz w:val="28"/>
          <w:szCs w:val="28"/>
          <w:lang w:val="en-US" w:eastAsia="zh-CN" w:bidi="ar-SA"/>
        </w:rPr>
        <w:t>13、组织指导和协调生态环境宣传教育工作，贯彻实施生态环境保护宣传教育纲要，推动社会组织和公众参与生态环境保护。开展生态环境科技工作，组织生态环境重大科学研究和技术工程示范，推动生态环境技术管理体系建设。</w:t>
      </w:r>
    </w:p>
    <w:p>
      <w:pPr>
        <w:pStyle w:val="6"/>
        <w:shd w:val="clear" w:color="auto" w:fill="FFFFFF"/>
        <w:adjustRightInd w:val="0"/>
        <w:snapToGrid w:val="0"/>
        <w:spacing w:before="0" w:beforeAutospacing="0" w:after="0" w:afterAutospacing="0" w:line="360" w:lineRule="auto"/>
        <w:ind w:firstLine="560" w:firstLineChars="200"/>
        <w:rPr>
          <w:rFonts w:hint="eastAsia" w:ascii="仿宋_GB2312" w:hAnsi="仿宋_GB2312" w:cs="仿宋_GB2312" w:eastAsiaTheme="minorEastAsia"/>
          <w:color w:val="000000"/>
          <w:kern w:val="0"/>
          <w:sz w:val="28"/>
          <w:szCs w:val="28"/>
          <w:lang w:val="en-US" w:eastAsia="zh-CN" w:bidi="ar-SA"/>
        </w:rPr>
      </w:pPr>
      <w:r>
        <w:rPr>
          <w:rFonts w:hint="eastAsia" w:ascii="仿宋_GB2312" w:hAnsi="仿宋_GB2312" w:cs="仿宋_GB2312" w:eastAsiaTheme="minorEastAsia"/>
          <w:color w:val="000000"/>
          <w:kern w:val="0"/>
          <w:sz w:val="28"/>
          <w:szCs w:val="28"/>
          <w:lang w:val="en-US" w:eastAsia="zh-CN" w:bidi="ar-SA"/>
        </w:rPr>
        <w:t>14、开展生态环境对外合作交流，研究提出生态环境对外合作中有关问题的建议，组织协调有关生态环境国际条约的省内履约工作，参与处理涉外生态环境事务。</w:t>
      </w:r>
    </w:p>
    <w:p>
      <w:pPr>
        <w:pStyle w:val="6"/>
        <w:shd w:val="clear" w:color="auto" w:fill="FFFFFF"/>
        <w:adjustRightInd w:val="0"/>
        <w:snapToGrid w:val="0"/>
        <w:spacing w:before="0" w:beforeAutospacing="0" w:after="0" w:afterAutospacing="0" w:line="360" w:lineRule="auto"/>
        <w:ind w:firstLine="560" w:firstLineChars="200"/>
        <w:rPr>
          <w:rFonts w:hint="eastAsia" w:ascii="仿宋_GB2312" w:hAnsi="仿宋_GB2312" w:cs="仿宋_GB2312" w:eastAsiaTheme="minorEastAsia"/>
          <w:color w:val="000000"/>
          <w:kern w:val="0"/>
          <w:sz w:val="28"/>
          <w:szCs w:val="28"/>
          <w:lang w:val="en-US" w:eastAsia="zh-CN" w:bidi="ar-SA"/>
        </w:rPr>
      </w:pPr>
      <w:r>
        <w:rPr>
          <w:rFonts w:hint="eastAsia" w:ascii="仿宋_GB2312" w:hAnsi="仿宋_GB2312" w:cs="仿宋_GB2312" w:eastAsiaTheme="minorEastAsia"/>
          <w:color w:val="000000"/>
          <w:kern w:val="0"/>
          <w:sz w:val="28"/>
          <w:szCs w:val="28"/>
          <w:lang w:val="en-US" w:eastAsia="zh-CN" w:bidi="ar-SA"/>
        </w:rPr>
        <w:t>15、完成省委、省政府交办的其他任务。</w:t>
      </w:r>
    </w:p>
    <w:p>
      <w:pPr>
        <w:pStyle w:val="6"/>
        <w:shd w:val="clear" w:color="auto" w:fill="FFFFFF"/>
        <w:adjustRightInd w:val="0"/>
        <w:snapToGrid w:val="0"/>
        <w:spacing w:before="0" w:beforeAutospacing="0" w:after="0" w:afterAutospacing="0" w:line="360" w:lineRule="auto"/>
        <w:ind w:firstLine="560" w:firstLineChars="200"/>
        <w:rPr>
          <w:rFonts w:hint="default" w:ascii="仿宋_GB2312" w:hAnsi="仿宋_GB2312" w:cs="仿宋_GB2312" w:eastAsiaTheme="minorEastAsia"/>
          <w:color w:val="000000"/>
          <w:kern w:val="0"/>
          <w:sz w:val="28"/>
          <w:szCs w:val="28"/>
          <w:lang w:val="en-US" w:eastAsia="zh-CN" w:bidi="ar-SA"/>
        </w:rPr>
      </w:pPr>
      <w:r>
        <w:rPr>
          <w:rFonts w:hint="eastAsia" w:ascii="仿宋_GB2312" w:hAnsi="仿宋_GB2312" w:cs="仿宋_GB2312" w:eastAsiaTheme="minorEastAsia"/>
          <w:color w:val="000000"/>
          <w:kern w:val="0"/>
          <w:sz w:val="28"/>
          <w:szCs w:val="28"/>
          <w:lang w:val="en-US" w:eastAsia="zh-CN" w:bidi="ar-SA"/>
        </w:rPr>
        <w:t>16、职能转变。省生态环境厅要统一行使生态和城乡各类污染排放监管与行政执法职责，切实履行监管责任，全面落实大气、水、土壤污染防治行动计划，大幅减少进口固体废物种类和数量直至全面禁止洋垃圾入境。构建政府为主导、企业为主体、社会组织和公众共同参与的生态环境治理体系，实行最严格的生态环境保护制度，严守生态保护红线和环境治理底线，坚决打好污染防治攻坚战，保障全省生态安全，建设富饶美丽幸福新湖南。</w:t>
      </w:r>
    </w:p>
    <w:p>
      <w:pPr>
        <w:jc w:val="left"/>
        <w:rPr>
          <w:rFonts w:ascii="仿宋_GB2312" w:eastAsia="仿宋_GB2312" w:hAnsiTheme="minorEastAsia"/>
          <w:sz w:val="28"/>
          <w:szCs w:val="32"/>
        </w:rPr>
      </w:pP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keepNext w:val="0"/>
        <w:keepLines w:val="0"/>
        <w:pageBreakBefore w:val="0"/>
        <w:widowControl w:val="0"/>
        <w:kinsoku/>
        <w:wordWrap/>
        <w:overflowPunct/>
        <w:topLinePunct w:val="0"/>
        <w:autoSpaceDE w:val="0"/>
        <w:autoSpaceDN w:val="0"/>
        <w:bidi w:val="0"/>
        <w:adjustRightInd w:val="0"/>
        <w:snapToGrid/>
        <w:spacing w:line="500" w:lineRule="exact"/>
        <w:ind w:firstLine="700" w:firstLineChars="250"/>
        <w:jc w:val="left"/>
        <w:textAlignment w:val="auto"/>
        <w:outlineLvl w:val="9"/>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我厅系统201</w:t>
      </w:r>
      <w:r>
        <w:rPr>
          <w:rFonts w:hint="eastAsia" w:ascii="仿宋_GB2312" w:hAnsi="仿宋_GB2312" w:cs="仿宋_GB2312"/>
          <w:color w:val="000000"/>
          <w:kern w:val="0"/>
          <w:sz w:val="28"/>
          <w:szCs w:val="28"/>
          <w:lang w:val="en-US" w:eastAsia="zh-CN"/>
        </w:rPr>
        <w:t>9</w:t>
      </w:r>
      <w:r>
        <w:rPr>
          <w:rFonts w:hint="eastAsia" w:ascii="仿宋_GB2312" w:hAnsi="仿宋_GB2312" w:cs="仿宋_GB2312"/>
          <w:color w:val="000000"/>
          <w:kern w:val="0"/>
          <w:sz w:val="28"/>
          <w:szCs w:val="28"/>
        </w:rPr>
        <w:t>年</w:t>
      </w:r>
      <w:r>
        <w:rPr>
          <w:rFonts w:hint="eastAsia" w:ascii="仿宋_GB2312" w:hAnsi="仿宋_GB2312" w:cs="仿宋_GB2312"/>
          <w:color w:val="000000"/>
          <w:kern w:val="0"/>
          <w:sz w:val="28"/>
          <w:szCs w:val="28"/>
          <w:lang w:eastAsia="zh-CN"/>
        </w:rPr>
        <w:t>部门预算</w:t>
      </w:r>
      <w:r>
        <w:rPr>
          <w:rFonts w:hint="eastAsia" w:ascii="仿宋_GB2312" w:hAnsi="仿宋_GB2312" w:cs="仿宋_GB2312"/>
          <w:color w:val="000000"/>
          <w:kern w:val="0"/>
          <w:sz w:val="28"/>
          <w:szCs w:val="28"/>
        </w:rPr>
        <w:t>共有1</w:t>
      </w:r>
      <w:r>
        <w:rPr>
          <w:rFonts w:hint="eastAsia" w:ascii="仿宋_GB2312" w:hAnsi="仿宋_GB2312" w:cs="仿宋_GB2312"/>
          <w:color w:val="000000"/>
          <w:kern w:val="0"/>
          <w:sz w:val="28"/>
          <w:szCs w:val="28"/>
          <w:lang w:val="en-US" w:eastAsia="zh-CN"/>
        </w:rPr>
        <w:t>4</w:t>
      </w:r>
      <w:r>
        <w:rPr>
          <w:rFonts w:hint="eastAsia" w:ascii="仿宋_GB2312" w:hAnsi="仿宋_GB2312" w:cs="仿宋_GB2312"/>
          <w:color w:val="000000"/>
          <w:kern w:val="0"/>
          <w:sz w:val="28"/>
          <w:szCs w:val="28"/>
        </w:rPr>
        <w:t>个基层单位：厅本级（行政单位）、长沙环保职业技术学院、省环境监测中心站、省洞庭湖生态环境监测中心、省环保宣教中心、省环境监测中心站南岳分站、省辐射环境监督站、省固体废物管理站、省环境信息中心、省环境应急与事故调处中心、省环境监察总队、省主要污染物排污权交易储备中心</w:t>
      </w:r>
      <w:r>
        <w:rPr>
          <w:rFonts w:hint="eastAsia" w:ascii="仿宋_GB2312" w:hAnsi="仿宋_GB2312" w:cs="仿宋_GB2312"/>
          <w:color w:val="000000"/>
          <w:kern w:val="0"/>
          <w:sz w:val="28"/>
          <w:szCs w:val="28"/>
          <w:lang w:eastAsia="zh-CN"/>
        </w:rPr>
        <w:t>、省环境工程评估中心、湖南省农业资源与环境保护管理站</w:t>
      </w:r>
      <w:r>
        <w:rPr>
          <w:rFonts w:hint="eastAsia" w:ascii="仿宋_GB2312" w:hAnsi="仿宋_GB2312" w:cs="仿宋_GB2312"/>
          <w:color w:val="000000"/>
          <w:kern w:val="0"/>
          <w:sz w:val="28"/>
          <w:szCs w:val="28"/>
        </w:rPr>
        <w:t>，加上厅系统财务，报表中</w:t>
      </w:r>
      <w:r>
        <w:rPr>
          <w:rFonts w:hint="eastAsia" w:ascii="仿宋_GB2312" w:hAnsi="仿宋_GB2312" w:cs="仿宋_GB2312"/>
          <w:color w:val="000000"/>
          <w:kern w:val="0"/>
          <w:sz w:val="28"/>
          <w:szCs w:val="28"/>
          <w:lang w:eastAsia="zh-CN"/>
        </w:rPr>
        <w:t>决</w:t>
      </w:r>
      <w:r>
        <w:rPr>
          <w:rFonts w:hint="eastAsia" w:ascii="仿宋_GB2312" w:hAnsi="仿宋_GB2312" w:cs="仿宋_GB2312"/>
          <w:color w:val="000000"/>
          <w:kern w:val="0"/>
          <w:sz w:val="28"/>
          <w:szCs w:val="28"/>
        </w:rPr>
        <w:t>算单位有1</w:t>
      </w:r>
      <w:r>
        <w:rPr>
          <w:rFonts w:hint="eastAsia" w:ascii="仿宋_GB2312" w:hAnsi="仿宋_GB2312" w:cs="仿宋_GB2312"/>
          <w:color w:val="000000"/>
          <w:kern w:val="0"/>
          <w:sz w:val="28"/>
          <w:szCs w:val="28"/>
          <w:lang w:val="en-US" w:eastAsia="zh-CN"/>
        </w:rPr>
        <w:t>5</w:t>
      </w:r>
      <w:r>
        <w:rPr>
          <w:rFonts w:hint="eastAsia" w:ascii="仿宋_GB2312" w:hAnsi="仿宋_GB2312" w:cs="仿宋_GB2312"/>
          <w:color w:val="000000"/>
          <w:kern w:val="0"/>
          <w:sz w:val="28"/>
          <w:szCs w:val="28"/>
        </w:rPr>
        <w:t>个。省环境保护科学研究院行政上由</w:t>
      </w:r>
      <w:r>
        <w:rPr>
          <w:rFonts w:hint="eastAsia" w:ascii="仿宋_GB2312" w:hAnsi="仿宋_GB2312" w:cs="仿宋_GB2312"/>
          <w:color w:val="000000"/>
          <w:kern w:val="0"/>
          <w:sz w:val="28"/>
          <w:szCs w:val="28"/>
          <w:lang w:eastAsia="zh-CN"/>
        </w:rPr>
        <w:t>我</w:t>
      </w:r>
      <w:r>
        <w:rPr>
          <w:rFonts w:hint="eastAsia" w:ascii="仿宋_GB2312" w:hAnsi="仿宋_GB2312" w:cs="仿宋_GB2312"/>
          <w:color w:val="000000"/>
          <w:kern w:val="0"/>
          <w:sz w:val="28"/>
          <w:szCs w:val="28"/>
        </w:rPr>
        <w:t>厅管理，预算管理上隶属于省科技厅系统。</w:t>
      </w:r>
    </w:p>
    <w:p>
      <w:pPr>
        <w:jc w:val="both"/>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both"/>
        <w:rPr>
          <w:sz w:val="72"/>
          <w:szCs w:val="72"/>
        </w:rPr>
      </w:pPr>
    </w:p>
    <w:p>
      <w:pPr>
        <w:jc w:val="both"/>
        <w:rPr>
          <w:sz w:val="72"/>
          <w:szCs w:val="72"/>
        </w:rPr>
      </w:pPr>
    </w:p>
    <w:p>
      <w:pPr>
        <w:jc w:val="both"/>
        <w:rPr>
          <w:sz w:val="72"/>
          <w:szCs w:val="72"/>
        </w:rPr>
      </w:pPr>
    </w:p>
    <w:p>
      <w:pPr>
        <w:jc w:val="both"/>
        <w:rPr>
          <w:sz w:val="72"/>
          <w:szCs w:val="72"/>
        </w:rPr>
      </w:pPr>
    </w:p>
    <w:p>
      <w:pPr>
        <w:jc w:val="both"/>
        <w:rPr>
          <w:sz w:val="72"/>
          <w:szCs w:val="72"/>
        </w:rPr>
      </w:pPr>
    </w:p>
    <w:p>
      <w:pPr>
        <w:jc w:val="both"/>
        <w:rPr>
          <w:sz w:val="72"/>
          <w:szCs w:val="72"/>
        </w:rPr>
      </w:pPr>
    </w:p>
    <w:p>
      <w:pPr>
        <w:jc w:val="both"/>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both"/>
        <w:rPr>
          <w:sz w:val="72"/>
          <w:szCs w:val="72"/>
        </w:rPr>
      </w:pPr>
    </w:p>
    <w:p>
      <w:pPr>
        <w:jc w:val="left"/>
        <w:rPr>
          <w:rFonts w:asciiTheme="minorEastAsia" w:hAnsiTheme="minorEastAsia"/>
          <w:sz w:val="32"/>
          <w:szCs w:val="32"/>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8"/>
        <w:tblW w:w="14044" w:type="dxa"/>
        <w:tblInd w:w="0" w:type="dxa"/>
        <w:shd w:val="clear" w:color="auto" w:fill="auto"/>
        <w:tblLayout w:type="fixed"/>
        <w:tblCellMar>
          <w:top w:w="0" w:type="dxa"/>
          <w:left w:w="0" w:type="dxa"/>
          <w:bottom w:w="0" w:type="dxa"/>
          <w:right w:w="0" w:type="dxa"/>
        </w:tblCellMar>
      </w:tblPr>
      <w:tblGrid>
        <w:gridCol w:w="4207"/>
        <w:gridCol w:w="569"/>
        <w:gridCol w:w="2246"/>
        <w:gridCol w:w="4207"/>
        <w:gridCol w:w="569"/>
        <w:gridCol w:w="2246"/>
      </w:tblGrid>
      <w:tr>
        <w:tblPrEx>
          <w:shd w:val="clear" w:color="auto" w:fill="auto"/>
          <w:tblLayout w:type="fixed"/>
          <w:tblCellMar>
            <w:top w:w="0" w:type="dxa"/>
            <w:left w:w="0" w:type="dxa"/>
            <w:bottom w:w="0" w:type="dxa"/>
            <w:right w:w="0" w:type="dxa"/>
          </w:tblCellMar>
        </w:tblPrEx>
        <w:trPr>
          <w:trHeight w:val="375" w:hRule="atLeast"/>
        </w:trPr>
        <w:tc>
          <w:tcPr>
            <w:tcW w:w="14044" w:type="dxa"/>
            <w:gridSpan w:val="6"/>
            <w:tcBorders>
              <w:top w:val="nil"/>
              <w:left w:val="nil"/>
              <w:bottom w:val="nil"/>
              <w:right w:val="single" w:color="80808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黑体" w:hAnsi="宋体" w:eastAsia="黑体" w:cs="黑体"/>
                <w:i w:val="0"/>
                <w:color w:val="000000"/>
                <w:kern w:val="0"/>
                <w:sz w:val="30"/>
                <w:szCs w:val="30"/>
                <w:u w:val="none"/>
                <w:lang w:val="en-US" w:eastAsia="zh-CN" w:bidi="ar"/>
              </w:rPr>
              <w:t>收入支出决算总表</w:t>
            </w:r>
          </w:p>
        </w:tc>
      </w:tr>
      <w:tr>
        <w:tblPrEx>
          <w:tblLayout w:type="fixed"/>
          <w:tblCellMar>
            <w:top w:w="0" w:type="dxa"/>
            <w:left w:w="0" w:type="dxa"/>
            <w:bottom w:w="0" w:type="dxa"/>
            <w:right w:w="0" w:type="dxa"/>
          </w:tblCellMar>
        </w:tblPrEx>
        <w:trPr>
          <w:trHeight w:val="300" w:hRule="atLeast"/>
        </w:trPr>
        <w:tc>
          <w:tcPr>
            <w:tcW w:w="4207"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69"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46"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207"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69"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46" w:type="dxa"/>
            <w:tcBorders>
              <w:top w:val="nil"/>
              <w:left w:val="nil"/>
              <w:bottom w:val="nil"/>
              <w:right w:val="single" w:color="80808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公开01表</w:t>
            </w:r>
          </w:p>
        </w:tc>
      </w:tr>
      <w:tr>
        <w:tblPrEx>
          <w:tblLayout w:type="fixed"/>
          <w:tblCellMar>
            <w:top w:w="0" w:type="dxa"/>
            <w:left w:w="0" w:type="dxa"/>
            <w:bottom w:w="0" w:type="dxa"/>
            <w:right w:w="0" w:type="dxa"/>
          </w:tblCellMar>
        </w:tblPrEx>
        <w:trPr>
          <w:trHeight w:val="300" w:hRule="atLeast"/>
        </w:trPr>
        <w:tc>
          <w:tcPr>
            <w:tcW w:w="4207" w:type="dxa"/>
            <w:tcBorders>
              <w:top w:val="nil"/>
              <w:left w:val="nil"/>
              <w:bottom w:val="single" w:color="80808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部门：湖南省生态环境厅</w:t>
            </w:r>
          </w:p>
        </w:tc>
        <w:tc>
          <w:tcPr>
            <w:tcW w:w="569"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46" w:type="dxa"/>
            <w:tcBorders>
              <w:top w:val="nil"/>
              <w:left w:val="nil"/>
              <w:bottom w:val="single" w:color="80808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4207"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69"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46" w:type="dxa"/>
            <w:tcBorders>
              <w:top w:val="nil"/>
              <w:left w:val="nil"/>
              <w:bottom w:val="single" w:color="808080" w:sz="4" w:space="0"/>
              <w:right w:val="single" w:color="80808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00" w:hRule="atLeast"/>
        </w:trPr>
        <w:tc>
          <w:tcPr>
            <w:tcW w:w="7022"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7022"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2246"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420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2246"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46"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20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46"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一、一般公共预算财政拨款收入</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24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857,986,000.00</w:t>
            </w:r>
          </w:p>
        </w:tc>
        <w:tc>
          <w:tcPr>
            <w:tcW w:w="420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224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2,655,741.00</w:t>
            </w: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二、政府性基金预算财政拨款收入</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24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20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224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三、上级补助收入</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24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476,000.00</w:t>
            </w:r>
          </w:p>
        </w:tc>
        <w:tc>
          <w:tcPr>
            <w:tcW w:w="420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224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四、事业收入</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224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58,356,300.20</w:t>
            </w:r>
          </w:p>
        </w:tc>
        <w:tc>
          <w:tcPr>
            <w:tcW w:w="420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224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五、经营收入</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24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9,602,230.41</w:t>
            </w:r>
          </w:p>
        </w:tc>
        <w:tc>
          <w:tcPr>
            <w:tcW w:w="420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224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155,178,953.15</w:t>
            </w: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六、附属单位上缴收入</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224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20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224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762,959.00</w:t>
            </w: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七、其他收入</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224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7,180,934.49</w:t>
            </w:r>
          </w:p>
        </w:tc>
        <w:tc>
          <w:tcPr>
            <w:tcW w:w="420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224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224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20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224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30,669,539.03</w:t>
            </w: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224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20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224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224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20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224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321,399,239.87</w:t>
            </w: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224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20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224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1,981,655.00</w:t>
            </w: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224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20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224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3,940,044.49</w:t>
            </w: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224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20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224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224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20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十四、资源勘探信息等支出</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224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224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20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224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224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20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224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224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20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224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224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20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224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224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20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224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13,349,245.30</w:t>
            </w: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224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20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224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224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20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二十一、灾害防治及应急管理支出</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224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224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20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二十二、其他支出</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224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6,262,161.24</w:t>
            </w: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224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20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224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224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933,601,465.10</w:t>
            </w:r>
          </w:p>
        </w:tc>
        <w:tc>
          <w:tcPr>
            <w:tcW w:w="420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224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536,199,538.08</w:t>
            </w: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用事业基金弥补收支差额</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224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20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结余分配</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224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546,569.44</w:t>
            </w: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年初结转和结余</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224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81,400,057.03</w:t>
            </w:r>
          </w:p>
        </w:tc>
        <w:tc>
          <w:tcPr>
            <w:tcW w:w="420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年末结转和结余</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224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478,255,414.61</w:t>
            </w: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224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20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224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224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1,015,001,522.13</w:t>
            </w:r>
          </w:p>
        </w:tc>
        <w:tc>
          <w:tcPr>
            <w:tcW w:w="420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5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224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1,015,001,522.13</w:t>
            </w:r>
          </w:p>
        </w:tc>
      </w:tr>
    </w:tbl>
    <w:p>
      <w:pPr>
        <w:widowControl/>
        <w:jc w:val="left"/>
        <w:rPr>
          <w:rFonts w:ascii="黑体" w:hAnsi="黑体" w:eastAsia="黑体"/>
          <w:sz w:val="28"/>
          <w:szCs w:val="28"/>
        </w:rPr>
        <w:sectPr>
          <w:pgSz w:w="16838" w:h="11906" w:orient="landscape"/>
          <w:pgMar w:top="1797" w:right="1440" w:bottom="1797" w:left="1440" w:header="851" w:footer="992" w:gutter="0"/>
          <w:pgBorders>
            <w:top w:val="none" w:sz="0" w:space="0"/>
            <w:left w:val="none" w:sz="0" w:space="0"/>
            <w:bottom w:val="none" w:sz="0" w:space="0"/>
            <w:right w:val="none" w:sz="0" w:space="0"/>
          </w:pgBorders>
          <w:cols w:space="425" w:num="1"/>
          <w:docGrid w:type="linesAndChars" w:linePitch="312" w:charSpace="0"/>
        </w:sectPr>
      </w:pPr>
      <w:r>
        <w:rPr>
          <w:rFonts w:ascii="Times New Roman" w:hAnsi="Times New Roman" w:eastAsia="黑体" w:cs="Times New Roman"/>
          <w:bCs/>
          <w:kern w:val="0"/>
          <w:sz w:val="32"/>
          <w:szCs w:val="32"/>
        </w:rPr>
        <w:br w:type="page"/>
      </w:r>
    </w:p>
    <w:p>
      <w:pPr>
        <w:widowControl/>
        <w:jc w:val="center"/>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收入决算表</w:t>
      </w:r>
    </w:p>
    <w:p>
      <w:pPr>
        <w:widowControl/>
        <w:ind w:firstLine="630" w:firstLineChars="3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lang w:eastAsia="zh-CN"/>
        </w:rPr>
        <w:t>湖南省生态环境厅</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公开02表</w:t>
      </w:r>
    </w:p>
    <w:p>
      <w:pPr>
        <w:widowControl/>
        <w:ind w:right="63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单位：元</w:t>
      </w:r>
    </w:p>
    <w:tbl>
      <w:tblPr>
        <w:tblStyle w:val="8"/>
        <w:tblW w:w="15425" w:type="dxa"/>
        <w:tblInd w:w="0" w:type="dxa"/>
        <w:shd w:val="clear" w:color="auto" w:fill="auto"/>
        <w:tblLayout w:type="fixed"/>
        <w:tblCellMar>
          <w:top w:w="0" w:type="dxa"/>
          <w:left w:w="0" w:type="dxa"/>
          <w:bottom w:w="0" w:type="dxa"/>
          <w:right w:w="0" w:type="dxa"/>
        </w:tblCellMar>
      </w:tblPr>
      <w:tblGrid>
        <w:gridCol w:w="334"/>
        <w:gridCol w:w="334"/>
        <w:gridCol w:w="334"/>
        <w:gridCol w:w="3772"/>
        <w:gridCol w:w="1572"/>
        <w:gridCol w:w="1572"/>
        <w:gridCol w:w="1168"/>
        <w:gridCol w:w="1462"/>
        <w:gridCol w:w="1480"/>
        <w:gridCol w:w="1352"/>
        <w:gridCol w:w="693"/>
        <w:gridCol w:w="1352"/>
      </w:tblGrid>
      <w:tr>
        <w:tblPrEx>
          <w:shd w:val="clear" w:color="auto" w:fill="auto"/>
          <w:tblLayout w:type="fixed"/>
          <w:tblCellMar>
            <w:top w:w="0" w:type="dxa"/>
            <w:left w:w="0" w:type="dxa"/>
            <w:bottom w:w="0" w:type="dxa"/>
            <w:right w:w="0" w:type="dxa"/>
          </w:tblCellMar>
        </w:tblPrEx>
        <w:trPr>
          <w:trHeight w:val="308" w:hRule="atLeast"/>
        </w:trPr>
        <w:tc>
          <w:tcPr>
            <w:tcW w:w="4774" w:type="dxa"/>
            <w:gridSpan w:val="4"/>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572"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1572"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1168"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2942" w:type="dxa"/>
            <w:gridSpan w:val="2"/>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1352"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69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1352" w:type="dxa"/>
            <w:vMerge w:val="restart"/>
            <w:tcBorders>
              <w:top w:val="single" w:color="000000" w:sz="4" w:space="0"/>
              <w:left w:val="nil"/>
              <w:bottom w:val="single" w:color="000000" w:sz="4" w:space="0"/>
              <w:right w:val="single" w:color="000000" w:sz="8"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Layout w:type="fixed"/>
          <w:tblCellMar>
            <w:top w:w="0" w:type="dxa"/>
            <w:left w:w="0" w:type="dxa"/>
            <w:bottom w:w="0" w:type="dxa"/>
            <w:right w:w="0" w:type="dxa"/>
          </w:tblCellMar>
        </w:tblPrEx>
        <w:trPr>
          <w:trHeight w:val="308" w:hRule="atLeast"/>
        </w:trPr>
        <w:tc>
          <w:tcPr>
            <w:tcW w:w="1002"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支出功能分类科目编码</w:t>
            </w:r>
          </w:p>
        </w:tc>
        <w:tc>
          <w:tcPr>
            <w:tcW w:w="3772"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57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62"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48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其中：教育收费</w:t>
            </w:r>
          </w:p>
        </w:tc>
        <w:tc>
          <w:tcPr>
            <w:tcW w:w="135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2" w:type="dxa"/>
            <w:vMerge w:val="continue"/>
            <w:tcBorders>
              <w:top w:val="single" w:color="000000" w:sz="4" w:space="0"/>
              <w:left w:val="nil"/>
              <w:bottom w:val="single" w:color="000000" w:sz="4" w:space="0"/>
              <w:right w:val="single" w:color="000000" w:sz="8"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1002"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72"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62"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8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2" w:type="dxa"/>
            <w:vMerge w:val="continue"/>
            <w:tcBorders>
              <w:top w:val="single" w:color="000000" w:sz="4" w:space="0"/>
              <w:left w:val="nil"/>
              <w:bottom w:val="single" w:color="000000" w:sz="4" w:space="0"/>
              <w:right w:val="single" w:color="000000" w:sz="8"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1002"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72"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62"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8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2" w:type="dxa"/>
            <w:vMerge w:val="continue"/>
            <w:tcBorders>
              <w:top w:val="single" w:color="000000" w:sz="4" w:space="0"/>
              <w:left w:val="nil"/>
              <w:bottom w:val="single" w:color="000000" w:sz="4" w:space="0"/>
              <w:right w:val="single" w:color="000000" w:sz="8"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334"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334"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334"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377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57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7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6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6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8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35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69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352" w:type="dxa"/>
            <w:tcBorders>
              <w:top w:val="nil"/>
              <w:left w:val="nil"/>
              <w:bottom w:val="single" w:color="000000" w:sz="4" w:space="0"/>
              <w:right w:val="single" w:color="000000" w:sz="8"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r>
      <w:tr>
        <w:tblPrEx>
          <w:tblLayout w:type="fixed"/>
          <w:tblCellMar>
            <w:top w:w="0" w:type="dxa"/>
            <w:left w:w="0" w:type="dxa"/>
            <w:bottom w:w="0" w:type="dxa"/>
            <w:right w:w="0" w:type="dxa"/>
          </w:tblCellMar>
        </w:tblPrEx>
        <w:trPr>
          <w:trHeight w:val="308" w:hRule="atLeast"/>
        </w:trPr>
        <w:tc>
          <w:tcPr>
            <w:tcW w:w="334"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3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3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7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933,601,465.10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857,986,000.00</w:t>
            </w:r>
          </w:p>
        </w:tc>
        <w:tc>
          <w:tcPr>
            <w:tcW w:w="11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476,000.00</w:t>
            </w:r>
          </w:p>
        </w:tc>
        <w:tc>
          <w:tcPr>
            <w:tcW w:w="14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58,356,300.20</w:t>
            </w:r>
          </w:p>
        </w:tc>
        <w:tc>
          <w:tcPr>
            <w:tcW w:w="1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56,024,274.20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9,602,230.41</w:t>
            </w:r>
          </w:p>
        </w:tc>
        <w:tc>
          <w:tcPr>
            <w:tcW w:w="6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7,180,934.49</w:t>
            </w:r>
          </w:p>
        </w:tc>
      </w:tr>
      <w:tr>
        <w:tblPrEx>
          <w:tblLayout w:type="fixed"/>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5,446,000.00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5,446,000.00</w:t>
            </w:r>
          </w:p>
        </w:tc>
        <w:tc>
          <w:tcPr>
            <w:tcW w:w="11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20101</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人大事务</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5,346,000.00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5,346,000.00</w:t>
            </w:r>
          </w:p>
        </w:tc>
        <w:tc>
          <w:tcPr>
            <w:tcW w:w="11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2010101</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5,346,000.00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5,346,000.00</w:t>
            </w:r>
          </w:p>
        </w:tc>
        <w:tc>
          <w:tcPr>
            <w:tcW w:w="11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20138</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市场监督管理事务</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100,000.00</w:t>
            </w:r>
          </w:p>
        </w:tc>
        <w:tc>
          <w:tcPr>
            <w:tcW w:w="11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2013811</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标准化管理</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100,000.00</w:t>
            </w:r>
          </w:p>
        </w:tc>
        <w:tc>
          <w:tcPr>
            <w:tcW w:w="11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教育支出</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166,094,692.05</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98,399,800.00</w:t>
            </w:r>
          </w:p>
        </w:tc>
        <w:tc>
          <w:tcPr>
            <w:tcW w:w="11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56,024,274.20</w:t>
            </w:r>
          </w:p>
        </w:tc>
        <w:tc>
          <w:tcPr>
            <w:tcW w:w="1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56,024,274.20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9,218,897.91</w:t>
            </w:r>
          </w:p>
        </w:tc>
        <w:tc>
          <w:tcPr>
            <w:tcW w:w="6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2,451,719.94</w:t>
            </w:r>
          </w:p>
        </w:tc>
      </w:tr>
      <w:tr>
        <w:tblPrEx>
          <w:tblLayout w:type="fixed"/>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20503</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职业教育</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166,094,692.05</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98,399,800.00</w:t>
            </w:r>
          </w:p>
        </w:tc>
        <w:tc>
          <w:tcPr>
            <w:tcW w:w="11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56,024,274.20</w:t>
            </w:r>
          </w:p>
        </w:tc>
        <w:tc>
          <w:tcPr>
            <w:tcW w:w="1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56,024,274.20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9,218,897.91</w:t>
            </w:r>
          </w:p>
        </w:tc>
        <w:tc>
          <w:tcPr>
            <w:tcW w:w="6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2,451,719.94</w:t>
            </w:r>
          </w:p>
        </w:tc>
      </w:tr>
      <w:tr>
        <w:tblPrEx>
          <w:tblLayout w:type="fixed"/>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2050302</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中专教育</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809,000.00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809,000.00</w:t>
            </w:r>
          </w:p>
        </w:tc>
        <w:tc>
          <w:tcPr>
            <w:tcW w:w="11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2050305</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高等职业教育</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165,285,692.05</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97,590,800.00</w:t>
            </w:r>
          </w:p>
        </w:tc>
        <w:tc>
          <w:tcPr>
            <w:tcW w:w="11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56,024,274.20</w:t>
            </w:r>
          </w:p>
        </w:tc>
        <w:tc>
          <w:tcPr>
            <w:tcW w:w="1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56,024,274.20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9,218,897.91</w:t>
            </w:r>
          </w:p>
        </w:tc>
        <w:tc>
          <w:tcPr>
            <w:tcW w:w="6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2,451,719.94</w:t>
            </w:r>
          </w:p>
        </w:tc>
      </w:tr>
      <w:tr>
        <w:tblPrEx>
          <w:tblLayout w:type="fixed"/>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科学技术支出</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1,780,000.00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1,780,000.00</w:t>
            </w:r>
          </w:p>
        </w:tc>
        <w:tc>
          <w:tcPr>
            <w:tcW w:w="11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20603</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应用研究</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1,740,000.00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1,740,000.00</w:t>
            </w:r>
          </w:p>
        </w:tc>
        <w:tc>
          <w:tcPr>
            <w:tcW w:w="11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2060302</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社会公益研究</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1,740,000.00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1,740,000.00</w:t>
            </w:r>
          </w:p>
        </w:tc>
        <w:tc>
          <w:tcPr>
            <w:tcW w:w="11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20606</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社会科学</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40,000.00</w:t>
            </w:r>
          </w:p>
        </w:tc>
        <w:tc>
          <w:tcPr>
            <w:tcW w:w="11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2060699</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其他社会科学支出</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40,000.00</w:t>
            </w:r>
          </w:p>
        </w:tc>
        <w:tc>
          <w:tcPr>
            <w:tcW w:w="11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30,950,700.00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30,950,700.00</w:t>
            </w:r>
          </w:p>
        </w:tc>
        <w:tc>
          <w:tcPr>
            <w:tcW w:w="11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30,766,700.00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30,766,700.00</w:t>
            </w:r>
          </w:p>
        </w:tc>
        <w:tc>
          <w:tcPr>
            <w:tcW w:w="11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2080501</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归口管理的行政单位离退休</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322,400.00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322,400.00</w:t>
            </w:r>
          </w:p>
        </w:tc>
        <w:tc>
          <w:tcPr>
            <w:tcW w:w="11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30,444,300.00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30,444,300.00</w:t>
            </w:r>
          </w:p>
        </w:tc>
        <w:tc>
          <w:tcPr>
            <w:tcW w:w="11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20807</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就业补助</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184,000.00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184,000.00</w:t>
            </w:r>
          </w:p>
        </w:tc>
        <w:tc>
          <w:tcPr>
            <w:tcW w:w="11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2080701</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就业创业服务补贴</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184,000.00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184,000.00</w:t>
            </w:r>
          </w:p>
        </w:tc>
        <w:tc>
          <w:tcPr>
            <w:tcW w:w="11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节能环保支出</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709,220,808.77</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705,759,100.00</w:t>
            </w:r>
          </w:p>
        </w:tc>
        <w:tc>
          <w:tcPr>
            <w:tcW w:w="11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476,000.00</w:t>
            </w:r>
          </w:p>
        </w:tc>
        <w:tc>
          <w:tcPr>
            <w:tcW w:w="14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2,332,026.00</w:t>
            </w:r>
          </w:p>
        </w:tc>
        <w:tc>
          <w:tcPr>
            <w:tcW w:w="1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383,332.50</w:t>
            </w:r>
          </w:p>
        </w:tc>
        <w:tc>
          <w:tcPr>
            <w:tcW w:w="6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270,350.27</w:t>
            </w:r>
          </w:p>
        </w:tc>
      </w:tr>
      <w:tr>
        <w:tblPrEx>
          <w:tblLayout w:type="fixed"/>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21101</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环境保护管理事务</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108,113,106.09</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104,912,897.32</w:t>
            </w:r>
          </w:p>
        </w:tc>
        <w:tc>
          <w:tcPr>
            <w:tcW w:w="11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476,000.00</w:t>
            </w:r>
          </w:p>
        </w:tc>
        <w:tc>
          <w:tcPr>
            <w:tcW w:w="14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2,332,026.00</w:t>
            </w:r>
          </w:p>
        </w:tc>
        <w:tc>
          <w:tcPr>
            <w:tcW w:w="1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383,332.50</w:t>
            </w:r>
          </w:p>
        </w:tc>
        <w:tc>
          <w:tcPr>
            <w:tcW w:w="6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8,850.27</w:t>
            </w:r>
          </w:p>
        </w:tc>
      </w:tr>
      <w:tr>
        <w:tblPrEx>
          <w:tblLayout w:type="fixed"/>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2110101</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75,776,134.18</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75,773,997.32</w:t>
            </w:r>
          </w:p>
        </w:tc>
        <w:tc>
          <w:tcPr>
            <w:tcW w:w="11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2,136.86</w:t>
            </w:r>
          </w:p>
        </w:tc>
      </w:tr>
      <w:tr>
        <w:tblPrEx>
          <w:tblLayout w:type="fixed"/>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2110102</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4,340,000.00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4,340,000.00</w:t>
            </w:r>
          </w:p>
        </w:tc>
        <w:tc>
          <w:tcPr>
            <w:tcW w:w="11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2110103</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机关服务</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1,200,000.00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1,200,000.00</w:t>
            </w:r>
          </w:p>
        </w:tc>
        <w:tc>
          <w:tcPr>
            <w:tcW w:w="11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2110104</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生态环境保护宣传</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3,783,332.50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3,400,000.00</w:t>
            </w:r>
          </w:p>
        </w:tc>
        <w:tc>
          <w:tcPr>
            <w:tcW w:w="11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383,332.50</w:t>
            </w:r>
          </w:p>
        </w:tc>
        <w:tc>
          <w:tcPr>
            <w:tcW w:w="6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2110105</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环境保护法规、规划及标准</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2,143,900.00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2,143,900.00</w:t>
            </w:r>
          </w:p>
        </w:tc>
        <w:tc>
          <w:tcPr>
            <w:tcW w:w="11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2110106</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生态环境国际合作及履约</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900,000.00</w:t>
            </w:r>
          </w:p>
        </w:tc>
        <w:tc>
          <w:tcPr>
            <w:tcW w:w="11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2110108</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应对气候变化管理事务</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8,200,000.00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8,200,000.00</w:t>
            </w:r>
          </w:p>
        </w:tc>
        <w:tc>
          <w:tcPr>
            <w:tcW w:w="11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2110199</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其他环境保护管理事务支出</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11,769,739.41</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8,955,000.00</w:t>
            </w:r>
          </w:p>
        </w:tc>
        <w:tc>
          <w:tcPr>
            <w:tcW w:w="11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476,000.00</w:t>
            </w:r>
          </w:p>
        </w:tc>
        <w:tc>
          <w:tcPr>
            <w:tcW w:w="14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2,332,026.00</w:t>
            </w:r>
          </w:p>
        </w:tc>
        <w:tc>
          <w:tcPr>
            <w:tcW w:w="1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6,713.41</w:t>
            </w:r>
          </w:p>
        </w:tc>
      </w:tr>
      <w:tr>
        <w:tblPrEx>
          <w:tblLayout w:type="fixed"/>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21102</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环境监测与监察</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118,412,202.68</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118,412,202.68</w:t>
            </w:r>
          </w:p>
        </w:tc>
        <w:tc>
          <w:tcPr>
            <w:tcW w:w="11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2110203</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建设项目环评审查与监督</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647,602.68</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647,602.68</w:t>
            </w:r>
          </w:p>
        </w:tc>
        <w:tc>
          <w:tcPr>
            <w:tcW w:w="11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2110204</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核与辐射安全监督</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479,000.00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479,000.00</w:t>
            </w:r>
          </w:p>
        </w:tc>
        <w:tc>
          <w:tcPr>
            <w:tcW w:w="11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2110299</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其他环境监测与监察支出</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117,285,600.00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117,285,600.00</w:t>
            </w:r>
          </w:p>
        </w:tc>
        <w:tc>
          <w:tcPr>
            <w:tcW w:w="11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21103</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污染防治</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323,112,300.00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323,112,300.00</w:t>
            </w:r>
          </w:p>
        </w:tc>
        <w:tc>
          <w:tcPr>
            <w:tcW w:w="11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2110301</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大气</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51,383,000.00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51,383,000.00</w:t>
            </w:r>
          </w:p>
        </w:tc>
        <w:tc>
          <w:tcPr>
            <w:tcW w:w="11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2110302</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水体</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169,910,000.00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169,910,000.00</w:t>
            </w:r>
          </w:p>
        </w:tc>
        <w:tc>
          <w:tcPr>
            <w:tcW w:w="11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2110304</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固体废弃物与化学品</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800,000.00</w:t>
            </w:r>
          </w:p>
        </w:tc>
        <w:tc>
          <w:tcPr>
            <w:tcW w:w="11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2110305</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放射源和放射性废物监管</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1,794,800.00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1,794,800.00</w:t>
            </w:r>
          </w:p>
        </w:tc>
        <w:tc>
          <w:tcPr>
            <w:tcW w:w="11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2110306</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辐射</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2,000,000.00</w:t>
            </w:r>
          </w:p>
        </w:tc>
        <w:tc>
          <w:tcPr>
            <w:tcW w:w="11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2110399</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其他污染防治支出</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97,224,500.00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97,224,500.00</w:t>
            </w:r>
          </w:p>
        </w:tc>
        <w:tc>
          <w:tcPr>
            <w:tcW w:w="11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21104</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自然生态保护</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2,011,500.00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1,750,000.00</w:t>
            </w:r>
          </w:p>
        </w:tc>
        <w:tc>
          <w:tcPr>
            <w:tcW w:w="11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261,500.00</w:t>
            </w:r>
          </w:p>
        </w:tc>
      </w:tr>
      <w:tr>
        <w:tblPrEx>
          <w:tblLayout w:type="fixed"/>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2110402</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农村环境保护</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2,011,500.00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1,750,000.00</w:t>
            </w:r>
          </w:p>
        </w:tc>
        <w:tc>
          <w:tcPr>
            <w:tcW w:w="11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261,500.00</w:t>
            </w:r>
          </w:p>
        </w:tc>
      </w:tr>
      <w:tr>
        <w:tblPrEx>
          <w:tblLayout w:type="fixed"/>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21111</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污染减排</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155,771,700.00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155,771,700.00</w:t>
            </w:r>
          </w:p>
        </w:tc>
        <w:tc>
          <w:tcPr>
            <w:tcW w:w="11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2111101</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生态环境监测与信息</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152,589,700.00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152,589,700.00</w:t>
            </w:r>
          </w:p>
        </w:tc>
        <w:tc>
          <w:tcPr>
            <w:tcW w:w="11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2111102</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生态环境执法监察</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2,140,000.00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2,140,000.00</w:t>
            </w:r>
          </w:p>
        </w:tc>
        <w:tc>
          <w:tcPr>
            <w:tcW w:w="11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2111103</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减排专项支出</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300,000.00</w:t>
            </w:r>
          </w:p>
        </w:tc>
        <w:tc>
          <w:tcPr>
            <w:tcW w:w="11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2111199</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其他污染减排支出</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742,000.00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742,000.00</w:t>
            </w:r>
          </w:p>
        </w:tc>
        <w:tc>
          <w:tcPr>
            <w:tcW w:w="11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21199</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其他节能环保支出</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1,800,000.00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1,800,000.00</w:t>
            </w:r>
          </w:p>
        </w:tc>
        <w:tc>
          <w:tcPr>
            <w:tcW w:w="11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2119901</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其他节能环保支出</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1,800,000.00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1,800,000.00</w:t>
            </w:r>
          </w:p>
        </w:tc>
        <w:tc>
          <w:tcPr>
            <w:tcW w:w="11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城乡社区支出</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2,304,300.00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2,304,300.00</w:t>
            </w:r>
          </w:p>
        </w:tc>
        <w:tc>
          <w:tcPr>
            <w:tcW w:w="11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21201</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城乡社区管理事务</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1,804,300.00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1,804,300.00</w:t>
            </w:r>
          </w:p>
        </w:tc>
        <w:tc>
          <w:tcPr>
            <w:tcW w:w="11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2120101</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1,804,300.00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1,804,300.00</w:t>
            </w:r>
          </w:p>
        </w:tc>
        <w:tc>
          <w:tcPr>
            <w:tcW w:w="11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21299</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其他城乡社区支出</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500,000.00</w:t>
            </w:r>
          </w:p>
        </w:tc>
        <w:tc>
          <w:tcPr>
            <w:tcW w:w="11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2129901</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其他城乡社区支出</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500,000.00</w:t>
            </w:r>
          </w:p>
        </w:tc>
        <w:tc>
          <w:tcPr>
            <w:tcW w:w="11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13,346,100.00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13,346,100.00</w:t>
            </w:r>
          </w:p>
        </w:tc>
        <w:tc>
          <w:tcPr>
            <w:tcW w:w="11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13,346,100.00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13,346,100.00</w:t>
            </w:r>
          </w:p>
        </w:tc>
        <w:tc>
          <w:tcPr>
            <w:tcW w:w="11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13,346,100.00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13,346,100.00</w:t>
            </w:r>
          </w:p>
        </w:tc>
        <w:tc>
          <w:tcPr>
            <w:tcW w:w="11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4,458,864.28</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4,458,864.28</w:t>
            </w:r>
          </w:p>
        </w:tc>
      </w:tr>
      <w:tr>
        <w:tblPrEx>
          <w:tblLayout w:type="fixed"/>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22999</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4,458,864.28</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4,458,864.28</w:t>
            </w:r>
          </w:p>
        </w:tc>
      </w:tr>
      <w:tr>
        <w:tblPrEx>
          <w:tblLayout w:type="fixed"/>
          <w:tblCellMar>
            <w:top w:w="0" w:type="dxa"/>
            <w:left w:w="0" w:type="dxa"/>
            <w:bottom w:w="0" w:type="dxa"/>
            <w:right w:w="0" w:type="dxa"/>
          </w:tblCellMar>
        </w:tblPrEx>
        <w:trPr>
          <w:trHeight w:val="308" w:hRule="atLeast"/>
        </w:trPr>
        <w:tc>
          <w:tcPr>
            <w:tcW w:w="1002" w:type="dxa"/>
            <w:gridSpan w:val="3"/>
            <w:tcBorders>
              <w:top w:val="nil"/>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2299901</w:t>
            </w:r>
          </w:p>
        </w:tc>
        <w:tc>
          <w:tcPr>
            <w:tcW w:w="3772" w:type="dxa"/>
            <w:tcBorders>
              <w:top w:val="nil"/>
              <w:left w:val="nil"/>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1572" w:type="dxa"/>
            <w:tcBorders>
              <w:top w:val="nil"/>
              <w:left w:val="nil"/>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4,458,864.28</w:t>
            </w:r>
          </w:p>
        </w:tc>
        <w:tc>
          <w:tcPr>
            <w:tcW w:w="1572" w:type="dxa"/>
            <w:tcBorders>
              <w:top w:val="nil"/>
              <w:left w:val="nil"/>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8" w:type="dxa"/>
            <w:tcBorders>
              <w:top w:val="nil"/>
              <w:left w:val="nil"/>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2" w:type="dxa"/>
            <w:tcBorders>
              <w:top w:val="nil"/>
              <w:left w:val="nil"/>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0" w:type="dxa"/>
            <w:tcBorders>
              <w:top w:val="nil"/>
              <w:left w:val="nil"/>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3" w:type="dxa"/>
            <w:tcBorders>
              <w:top w:val="nil"/>
              <w:left w:val="nil"/>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4,458,864.28</w:t>
            </w:r>
          </w:p>
        </w:tc>
      </w:tr>
    </w:tbl>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8"/>
        <w:tblW w:w="15425" w:type="dxa"/>
        <w:tblInd w:w="0" w:type="dxa"/>
        <w:shd w:val="clear" w:color="auto" w:fill="auto"/>
        <w:tblLayout w:type="fixed"/>
        <w:tblCellMar>
          <w:top w:w="0" w:type="dxa"/>
          <w:left w:w="0" w:type="dxa"/>
          <w:bottom w:w="0" w:type="dxa"/>
          <w:right w:w="0" w:type="dxa"/>
        </w:tblCellMar>
      </w:tblPr>
      <w:tblGrid>
        <w:gridCol w:w="742"/>
        <w:gridCol w:w="742"/>
        <w:gridCol w:w="742"/>
        <w:gridCol w:w="3772"/>
        <w:gridCol w:w="1572"/>
        <w:gridCol w:w="1572"/>
        <w:gridCol w:w="1572"/>
        <w:gridCol w:w="1349"/>
        <w:gridCol w:w="1352"/>
        <w:gridCol w:w="2010"/>
      </w:tblGrid>
      <w:tr>
        <w:tblPrEx>
          <w:shd w:val="clear" w:color="auto" w:fill="auto"/>
          <w:tblLayout w:type="fixed"/>
          <w:tblCellMar>
            <w:top w:w="0" w:type="dxa"/>
            <w:left w:w="0" w:type="dxa"/>
            <w:bottom w:w="0" w:type="dxa"/>
            <w:right w:w="0" w:type="dxa"/>
          </w:tblCellMar>
        </w:tblPrEx>
        <w:trPr>
          <w:trHeight w:val="540" w:hRule="atLeast"/>
        </w:trPr>
        <w:tc>
          <w:tcPr>
            <w:tcW w:w="15425" w:type="dxa"/>
            <w:gridSpan w:val="10"/>
            <w:tcBorders>
              <w:top w:val="nil"/>
              <w:left w:val="nil"/>
              <w:bottom w:val="nil"/>
              <w:right w:val="nil"/>
            </w:tcBorders>
            <w:shd w:val="clear" w:color="auto" w:fill="auto"/>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44"/>
                <w:szCs w:val="44"/>
                <w:u w:val="none"/>
                <w:lang w:val="en-US" w:eastAsia="zh-CN" w:bidi="ar"/>
              </w:rPr>
              <w:t>支出决算表</w:t>
            </w:r>
          </w:p>
        </w:tc>
      </w:tr>
      <w:tr>
        <w:tblPrEx>
          <w:tblLayout w:type="fixed"/>
          <w:tblCellMar>
            <w:top w:w="0" w:type="dxa"/>
            <w:left w:w="0" w:type="dxa"/>
            <w:bottom w:w="0" w:type="dxa"/>
            <w:right w:w="0" w:type="dxa"/>
          </w:tblCellMar>
        </w:tblPrEx>
        <w:trPr>
          <w:trHeight w:val="285" w:hRule="atLeast"/>
        </w:trPr>
        <w:tc>
          <w:tcPr>
            <w:tcW w:w="742"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742"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742"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3772"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572"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572"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572"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349"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352"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2010"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公开03表</w:t>
            </w:r>
          </w:p>
        </w:tc>
      </w:tr>
      <w:tr>
        <w:tblPrEx>
          <w:tblLayout w:type="fixed"/>
          <w:tblCellMar>
            <w:top w:w="0" w:type="dxa"/>
            <w:left w:w="0" w:type="dxa"/>
            <w:bottom w:w="0" w:type="dxa"/>
            <w:right w:w="0" w:type="dxa"/>
          </w:tblCellMar>
        </w:tblPrEx>
        <w:trPr>
          <w:trHeight w:val="285" w:hRule="atLeast"/>
        </w:trPr>
        <w:tc>
          <w:tcPr>
            <w:tcW w:w="5998" w:type="dxa"/>
            <w:gridSpan w:val="4"/>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4"/>
                <w:szCs w:val="24"/>
                <w:u w:val="none"/>
                <w:lang w:val="en-US" w:eastAsia="zh-CN" w:bidi="ar"/>
              </w:rPr>
              <w:t>编制单位：湖南省生态环境厅</w:t>
            </w:r>
          </w:p>
        </w:tc>
        <w:tc>
          <w:tcPr>
            <w:tcW w:w="1572"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572"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1572"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349"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352"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2010"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金额单位：元</w:t>
            </w:r>
          </w:p>
        </w:tc>
      </w:tr>
      <w:tr>
        <w:tblPrEx>
          <w:tblLayout w:type="fixed"/>
          <w:tblCellMar>
            <w:top w:w="0" w:type="dxa"/>
            <w:left w:w="0" w:type="dxa"/>
            <w:bottom w:w="0" w:type="dxa"/>
            <w:right w:w="0" w:type="dxa"/>
          </w:tblCellMar>
        </w:tblPrEx>
        <w:trPr>
          <w:trHeight w:val="308" w:hRule="atLeast"/>
        </w:trPr>
        <w:tc>
          <w:tcPr>
            <w:tcW w:w="5998" w:type="dxa"/>
            <w:gridSpan w:val="4"/>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572"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572"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572"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349"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1352"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2010" w:type="dxa"/>
            <w:vMerge w:val="restart"/>
            <w:tcBorders>
              <w:top w:val="single" w:color="000000" w:sz="4" w:space="0"/>
              <w:left w:val="nil"/>
              <w:bottom w:val="single" w:color="000000" w:sz="4" w:space="0"/>
              <w:right w:val="single" w:color="000000" w:sz="8"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Layout w:type="fixed"/>
          <w:tblCellMar>
            <w:top w:w="0" w:type="dxa"/>
            <w:left w:w="0" w:type="dxa"/>
            <w:bottom w:w="0" w:type="dxa"/>
            <w:right w:w="0" w:type="dxa"/>
          </w:tblCellMar>
        </w:tblPrEx>
        <w:trPr>
          <w:trHeight w:val="308" w:hRule="atLeast"/>
        </w:trPr>
        <w:tc>
          <w:tcPr>
            <w:tcW w:w="2226"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支出功能分类科目编码</w:t>
            </w:r>
          </w:p>
        </w:tc>
        <w:tc>
          <w:tcPr>
            <w:tcW w:w="3772"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57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49"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10" w:type="dxa"/>
            <w:vMerge w:val="continue"/>
            <w:tcBorders>
              <w:top w:val="single" w:color="000000" w:sz="4" w:space="0"/>
              <w:left w:val="nil"/>
              <w:bottom w:val="single" w:color="000000" w:sz="4" w:space="0"/>
              <w:right w:val="single" w:color="000000" w:sz="8"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2226"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72"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49"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10" w:type="dxa"/>
            <w:vMerge w:val="continue"/>
            <w:tcBorders>
              <w:top w:val="single" w:color="000000" w:sz="4" w:space="0"/>
              <w:left w:val="nil"/>
              <w:bottom w:val="single" w:color="000000" w:sz="4" w:space="0"/>
              <w:right w:val="single" w:color="000000" w:sz="8"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2226"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72"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49"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10" w:type="dxa"/>
            <w:vMerge w:val="continue"/>
            <w:tcBorders>
              <w:top w:val="single" w:color="000000" w:sz="4" w:space="0"/>
              <w:left w:val="nil"/>
              <w:bottom w:val="single" w:color="000000" w:sz="4" w:space="0"/>
              <w:right w:val="single" w:color="000000" w:sz="8"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742"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742"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742"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377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57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7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7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34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35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010" w:type="dxa"/>
            <w:tcBorders>
              <w:top w:val="nil"/>
              <w:left w:val="nil"/>
              <w:bottom w:val="single" w:color="000000" w:sz="4" w:space="0"/>
              <w:right w:val="single" w:color="000000" w:sz="8"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Layout w:type="fixed"/>
          <w:tblCellMar>
            <w:top w:w="0" w:type="dxa"/>
            <w:left w:w="0" w:type="dxa"/>
            <w:bottom w:w="0" w:type="dxa"/>
            <w:right w:w="0" w:type="dxa"/>
          </w:tblCellMar>
        </w:tblPrEx>
        <w:trPr>
          <w:trHeight w:val="308" w:hRule="atLeast"/>
        </w:trPr>
        <w:tc>
          <w:tcPr>
            <w:tcW w:w="742"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42"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42"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7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536,199,538.08</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243,803,037.70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284,989,856.59</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7,406,643.79</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2,655,741.00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2,570,641.00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85,100.00</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20101</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人大事务</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2,570,641.00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2,570,641.00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2010101</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2,570,641.00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2,570,641.00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财政事务</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8,000.00</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2010699</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其他财政事务支出</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8,000.00</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20138</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市场监督管理事务</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77,100.00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77,100.00</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2013811</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标准化管理</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77,100.00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77,100.00</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教育支出</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155,178,953.15</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104,022,788.28</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44,243,570.34</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6,912,594.53</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20503</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职业教育</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155,178,953.15</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104,022,788.28</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44,243,570.34</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6,912,594.53</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2050302</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中专教育</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780,000.00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640,000.00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140,000.00</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2050305</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高等职业教育</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154,398,953.15</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103,382,788.28</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44,103,570.34</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6,912,594.53</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科学技术支出</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762,959.00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762,959.00</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20603</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应用研究</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640,000.00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640,000.00</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2060302</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社会公益研究</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640,000.00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640,000.00</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20606</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社会科学</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60,000.00</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2060699</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其他社会科学支出</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60,000.00</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20609</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科技重大项目</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62,959.00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62,959.00</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2060902</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重点研发计划</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62,959.00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62,959.00</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30,669,539.03</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30,485,539.03</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184,000.00</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30,485,539.03</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30,485,539.03</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2080501</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归口管理的行政单位离退休</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322,400.00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322,400.00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30,163,139.03</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30,163,139.03</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20807</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就业补助</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184,000.00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184,000.00</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2080701</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就业创业服务补贴</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184,000.00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184,000.00</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节能环保支出</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321,399,239.87</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91,385,169.99</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229,520,020.62</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494,049.26</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21101</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环境保护管理事务</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105,844,241.00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74,979,297.23</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30,370,894.51</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494,049.26</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2110101</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74,679,951.25</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73,734,716.07</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945,235.18</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2110102</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4,019,000.00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1,177,825.16</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2,841,174.84</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2110103</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机关服务</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1,200,000.00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1,200,000.00</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2110104</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生态环境保护宣传</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3,449,146.56</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2,955,097.30</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494,049.26</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2110105</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环境保护法规、规划及标准</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1,945,300.00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1,945,300.00</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2110106</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生态环境国际合作及履约</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900,000.00</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2110108</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应对气候变化管理事务</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7,238,700.00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7,238,700.00</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2110199</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其他环境保护管理事务支出</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12,412,143.19</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66,756.00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12,345,387.19</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21102</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环境监测与监察</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20,095,540.03</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13,505,600.00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6,589,940.03</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2110203</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建设项目环评审查与监督</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1,071,771.53</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1,071,771.53</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2110204</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核与辐射安全监督</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2,748,538.00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2,748,538.00</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2110299</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其他环境监测与监察支出</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16,275,230.50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13,505,600.00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2,769,630.50</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21103</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污染防治</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69,662,540.27</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69,662,540.27</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2110301</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大气</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20,558,766.85</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20,558,766.85</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2110302</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水体</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662,103.00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662,103.00</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2110304</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固体废弃物与化学品</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800,000.00</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2110305</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放射源和放射性废物监管</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1,045,998.38</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1,045,998.38</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2110306</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辐射</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8,027,124.00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8,027,124.00</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2110399</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其他污染防治支出</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38,568,548.04</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38,568,548.04</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21104</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自然生态保护</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496.00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496.00</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2110402</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农村环境保护</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496.00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496.00</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21111</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污染减排</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108,720,938.84</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176,360.32</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108,544,578.52</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2111101</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生态环境监测与信息</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105,511,686.66</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176,360.32</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105,335,326.34</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2111102</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生态环境执法监察</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1,673,215.78</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1,673,215.78</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2111103</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减排专项支出</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230,250.00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230,250.00</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2111199</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其他污染减排支出</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1,305,786.40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1,305,786.40</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21199</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其他节能环保支出</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17,075,483.73</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2,723,912.44</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14,351,571.29</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2119901</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其他节能环保支出</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17,075,483.73</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2,723,912.44</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14,351,571.29</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城乡社区支出</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1,981,655.00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1,704,300.00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277,355.00</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21201</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城乡社区管理事务</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1,804,300.00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1,704,300.00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100,000.00</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2120101</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1,804,300.00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1,704,300.00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100,000.00</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21299</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其他城乡社区支出</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177,355.00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177,355.00</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2129901</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其他城乡社区支出</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177,355.00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177,355.00</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农林水支出</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3,940,044.49</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285,354.10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3,654,690.39</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农业</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3,940,044.49</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285,354.10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3,654,690.39</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2130101</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285,354.10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285,354.10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2130199</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其他农业支出</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3,654,690.39</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3,654,690.39</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13,349,245.30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13,349,245.30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13,349,245.30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13,349,245.30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13,349,245.30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13,349,245.30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6,262,161.24</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6,262,161.24</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22999</w:t>
            </w:r>
          </w:p>
        </w:tc>
        <w:tc>
          <w:tcPr>
            <w:tcW w:w="37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6,262,161.24</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6,262,161.24</w:t>
            </w:r>
          </w:p>
        </w:tc>
        <w:tc>
          <w:tcPr>
            <w:tcW w:w="13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2226" w:type="dxa"/>
            <w:gridSpan w:val="3"/>
            <w:tcBorders>
              <w:top w:val="nil"/>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2299901</w:t>
            </w:r>
          </w:p>
        </w:tc>
        <w:tc>
          <w:tcPr>
            <w:tcW w:w="3772" w:type="dxa"/>
            <w:tcBorders>
              <w:top w:val="nil"/>
              <w:left w:val="nil"/>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1572" w:type="dxa"/>
            <w:tcBorders>
              <w:top w:val="nil"/>
              <w:left w:val="nil"/>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6,262,161.24</w:t>
            </w:r>
          </w:p>
        </w:tc>
        <w:tc>
          <w:tcPr>
            <w:tcW w:w="1572" w:type="dxa"/>
            <w:tcBorders>
              <w:top w:val="nil"/>
              <w:left w:val="nil"/>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72" w:type="dxa"/>
            <w:tcBorders>
              <w:top w:val="nil"/>
              <w:left w:val="nil"/>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6,262,161.24</w:t>
            </w:r>
          </w:p>
        </w:tc>
        <w:tc>
          <w:tcPr>
            <w:tcW w:w="1349" w:type="dxa"/>
            <w:tcBorders>
              <w:top w:val="nil"/>
              <w:left w:val="nil"/>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nil"/>
              <w:left w:val="nil"/>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bl>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p>
      <w:pPr>
        <w:widowControl/>
        <w:ind w:left="93"/>
        <w:jc w:val="center"/>
        <w:rPr>
          <w:rFonts w:ascii="Times New Roman" w:hAnsi="Times New Roman" w:eastAsia="方正小标宋_GBK" w:cs="Times New Roman"/>
          <w:color w:val="000000"/>
          <w:kern w:val="0"/>
          <w:sz w:val="36"/>
          <w:szCs w:val="21"/>
        </w:rPr>
      </w:pPr>
      <w:r>
        <w:rPr>
          <w:rFonts w:ascii="Times New Roman" w:hAnsi="Times New Roman" w:eastAsia="方正小标宋_GBK" w:cs="Times New Roman"/>
          <w:color w:val="000000"/>
          <w:kern w:val="0"/>
          <w:sz w:val="36"/>
          <w:szCs w:val="21"/>
        </w:rPr>
        <w:t>财政拨款收入支出决算总表</w:t>
      </w:r>
    </w:p>
    <w:tbl>
      <w:tblPr>
        <w:tblStyle w:val="8"/>
        <w:tblW w:w="15416" w:type="dxa"/>
        <w:tblInd w:w="0" w:type="dxa"/>
        <w:shd w:val="clear" w:color="auto" w:fill="auto"/>
        <w:tblLayout w:type="fixed"/>
        <w:tblCellMar>
          <w:top w:w="0" w:type="dxa"/>
          <w:left w:w="0" w:type="dxa"/>
          <w:bottom w:w="0" w:type="dxa"/>
          <w:right w:w="0" w:type="dxa"/>
        </w:tblCellMar>
      </w:tblPr>
      <w:tblGrid>
        <w:gridCol w:w="573"/>
        <w:gridCol w:w="267"/>
        <w:gridCol w:w="307"/>
        <w:gridCol w:w="1006"/>
        <w:gridCol w:w="814"/>
        <w:gridCol w:w="754"/>
        <w:gridCol w:w="814"/>
        <w:gridCol w:w="874"/>
        <w:gridCol w:w="874"/>
        <w:gridCol w:w="874"/>
        <w:gridCol w:w="874"/>
        <w:gridCol w:w="874"/>
        <w:gridCol w:w="874"/>
        <w:gridCol w:w="814"/>
        <w:gridCol w:w="874"/>
        <w:gridCol w:w="874"/>
        <w:gridCol w:w="754"/>
        <w:gridCol w:w="874"/>
        <w:gridCol w:w="874"/>
        <w:gridCol w:w="573"/>
      </w:tblGrid>
      <w:tr>
        <w:tblPrEx>
          <w:shd w:val="clear" w:color="auto" w:fill="auto"/>
          <w:tblLayout w:type="fixed"/>
          <w:tblCellMar>
            <w:top w:w="0" w:type="dxa"/>
            <w:left w:w="0" w:type="dxa"/>
            <w:bottom w:w="0" w:type="dxa"/>
            <w:right w:w="0" w:type="dxa"/>
          </w:tblCellMar>
        </w:tblPrEx>
        <w:trPr>
          <w:trHeight w:val="285" w:hRule="atLeast"/>
        </w:trPr>
        <w:tc>
          <w:tcPr>
            <w:tcW w:w="15416" w:type="dxa"/>
            <w:gridSpan w:val="20"/>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公开04表</w:t>
            </w:r>
          </w:p>
        </w:tc>
      </w:tr>
      <w:tr>
        <w:tblPrEx>
          <w:tblLayout w:type="fixed"/>
          <w:tblCellMar>
            <w:top w:w="0" w:type="dxa"/>
            <w:left w:w="0" w:type="dxa"/>
            <w:bottom w:w="0" w:type="dxa"/>
            <w:right w:w="0" w:type="dxa"/>
          </w:tblCellMar>
        </w:tblPrEx>
        <w:trPr>
          <w:trHeight w:val="285" w:hRule="atLeast"/>
        </w:trPr>
        <w:tc>
          <w:tcPr>
            <w:tcW w:w="3721" w:type="dxa"/>
            <w:gridSpan w:val="6"/>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4"/>
                <w:szCs w:val="24"/>
                <w:u w:val="none"/>
                <w:lang w:val="en-US" w:eastAsia="zh-CN" w:bidi="ar"/>
              </w:rPr>
              <w:t>编制单位：湖南省生态环境厅</w:t>
            </w:r>
          </w:p>
        </w:tc>
        <w:tc>
          <w:tcPr>
            <w:tcW w:w="814"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874"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874"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874"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748" w:type="dxa"/>
            <w:gridSpan w:val="2"/>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4"/>
                <w:szCs w:val="24"/>
                <w:u w:val="none"/>
                <w:lang w:val="en-US" w:eastAsia="zh-CN" w:bidi="ar"/>
              </w:rPr>
              <w:t>2019年度</w:t>
            </w:r>
          </w:p>
        </w:tc>
        <w:tc>
          <w:tcPr>
            <w:tcW w:w="874"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814"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874"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874"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754"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2321" w:type="dxa"/>
            <w:gridSpan w:val="3"/>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金额单位：元</w:t>
            </w:r>
          </w:p>
        </w:tc>
      </w:tr>
      <w:tr>
        <w:tblPrEx>
          <w:tblLayout w:type="fixed"/>
          <w:tblCellMar>
            <w:top w:w="0" w:type="dxa"/>
            <w:left w:w="0" w:type="dxa"/>
            <w:bottom w:w="0" w:type="dxa"/>
            <w:right w:w="0" w:type="dxa"/>
          </w:tblCellMar>
        </w:tblPrEx>
        <w:trPr>
          <w:trHeight w:val="308" w:hRule="atLeast"/>
        </w:trPr>
        <w:tc>
          <w:tcPr>
            <w:tcW w:w="2153" w:type="dxa"/>
            <w:gridSpan w:val="4"/>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382"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2622"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4310" w:type="dxa"/>
            <w:gridSpan w:val="5"/>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3949" w:type="dxa"/>
            <w:gridSpan w:val="5"/>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Layout w:type="fixed"/>
          <w:tblCellMar>
            <w:top w:w="0" w:type="dxa"/>
            <w:left w:w="0" w:type="dxa"/>
            <w:bottom w:w="0" w:type="dxa"/>
            <w:right w:w="0" w:type="dxa"/>
          </w:tblCellMar>
        </w:tblPrEx>
        <w:trPr>
          <w:trHeight w:val="308" w:hRule="atLeast"/>
        </w:trPr>
        <w:tc>
          <w:tcPr>
            <w:tcW w:w="1147"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支出功能分类科目编码</w:t>
            </w:r>
          </w:p>
        </w:tc>
        <w:tc>
          <w:tcPr>
            <w:tcW w:w="1006"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814"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754"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基本支出结转</w:t>
            </w:r>
          </w:p>
        </w:tc>
        <w:tc>
          <w:tcPr>
            <w:tcW w:w="814"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项目支出结转和结余</w:t>
            </w:r>
          </w:p>
        </w:tc>
        <w:tc>
          <w:tcPr>
            <w:tcW w:w="874"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874"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874"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874"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562"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874"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874"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754"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基本支出结转</w:t>
            </w:r>
          </w:p>
        </w:tc>
        <w:tc>
          <w:tcPr>
            <w:tcW w:w="2321"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项目支出结转和结余</w:t>
            </w:r>
          </w:p>
        </w:tc>
      </w:tr>
      <w:tr>
        <w:tblPrEx>
          <w:tblLayout w:type="fixed"/>
          <w:tblCellMar>
            <w:top w:w="0" w:type="dxa"/>
            <w:left w:w="0" w:type="dxa"/>
            <w:bottom w:w="0" w:type="dxa"/>
            <w:right w:w="0" w:type="dxa"/>
          </w:tblCellMar>
        </w:tblPrEx>
        <w:trPr>
          <w:trHeight w:val="277" w:hRule="atLeast"/>
        </w:trPr>
        <w:tc>
          <w:tcPr>
            <w:tcW w:w="1147"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6"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4"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874"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814"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日常公用经费</w:t>
            </w:r>
          </w:p>
        </w:tc>
        <w:tc>
          <w:tcPr>
            <w:tcW w:w="87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4"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874"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项目支出结转</w:t>
            </w:r>
          </w:p>
        </w:tc>
        <w:tc>
          <w:tcPr>
            <w:tcW w:w="573" w:type="dxa"/>
            <w:vMerge w:val="restart"/>
            <w:tcBorders>
              <w:top w:val="nil"/>
              <w:left w:val="nil"/>
              <w:bottom w:val="single" w:color="000000" w:sz="4" w:space="0"/>
              <w:right w:val="single" w:color="000000" w:sz="8"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项目支出结余</w:t>
            </w:r>
          </w:p>
        </w:tc>
      </w:tr>
      <w:tr>
        <w:tblPrEx>
          <w:tblLayout w:type="fixed"/>
          <w:tblCellMar>
            <w:top w:w="0" w:type="dxa"/>
            <w:left w:w="0" w:type="dxa"/>
            <w:bottom w:w="0" w:type="dxa"/>
            <w:right w:w="0" w:type="dxa"/>
          </w:tblCellMar>
        </w:tblPrEx>
        <w:trPr>
          <w:trHeight w:val="615" w:hRule="atLeast"/>
        </w:trPr>
        <w:tc>
          <w:tcPr>
            <w:tcW w:w="1147"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6"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3" w:type="dxa"/>
            <w:vMerge w:val="continue"/>
            <w:tcBorders>
              <w:top w:val="nil"/>
              <w:left w:val="nil"/>
              <w:bottom w:val="single" w:color="000000" w:sz="4" w:space="0"/>
              <w:right w:val="single" w:color="000000" w:sz="8"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573"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267"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307"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100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81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5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1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7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7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87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87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87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7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81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87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87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75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87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87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573" w:type="dxa"/>
            <w:tcBorders>
              <w:top w:val="nil"/>
              <w:left w:val="nil"/>
              <w:bottom w:val="single" w:color="000000" w:sz="4" w:space="0"/>
              <w:right w:val="single" w:color="000000" w:sz="8"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308" w:hRule="atLeast"/>
        </w:trPr>
        <w:tc>
          <w:tcPr>
            <w:tcW w:w="573"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7"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7"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79,148,988.98</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3,656,090.34</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75,492,898.64</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857,986,000.00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196,790,128.01</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661,195,871.99</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461,876,342.74</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194,622,018.24</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147,066,474.27</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47,555,543.97</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267,254,324.50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475,258,646.24</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5,824,200.11</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469,434,446.13</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469,384,446.13</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158,000.00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5,446,000.00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5,346,000.00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2,655,741.00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2,570,641.00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2,570,641.00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85,100.00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2,948,259.00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2,775,359.00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172,900.00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122,900.00</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20101</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人大事务</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5,346,000.00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5,346,000.00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2,570,641.00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2,570,641.00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2,570,641.00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2,775,359.00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2,775,359.00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2010101</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5,346,000.00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5,346,000.00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2,570,641.00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2,570,641.00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2,570,641.00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2,775,359.00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2,775,359.00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财政事务</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2010699</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其他财政事务支出</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20138</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市场监督管理事务</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150,000.00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77,100.00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77,100.00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172,900.00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172,900.00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122,900.00</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2013811</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标准化管理</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150,000.00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77,100.00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77,100.00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172,900.00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172,900.00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122,900.00</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教育支出</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8,314,804.94</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10,663.00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8,304,141.94</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98,399,800.00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55,147,680.39</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43,252,119.61</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90,336,933.92</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54,842,289.82</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45,686,638.73</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9,155,651.09</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35,494,644.10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16,377,671.02</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316,053.57</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16,061,617.45</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16,061,617.45</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20503</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职业教育</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8,314,804.94</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10,663.00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8,304,141.94</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98,399,800.00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55,147,680.39</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43,252,119.61</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90,336,933.92</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54,842,289.82</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45,686,638.73</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9,155,651.09</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35,494,644.10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16,377,671.02</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316,053.57</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16,061,617.45</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16,061,617.45</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2050302</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中专教育</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809,000.00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640,000.00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29,000.00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29,000.00</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2050305</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高等职业教育</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8,314,804.94</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10,663.00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8,304,141.94</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97,590,800.00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54,507,680.39</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43,083,119.61</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89,556,933.92</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54,202,289.82</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45,046,638.73</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9,155,651.09</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35,354,644.10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16,348,671.02</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316,053.57</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16,032,617.45</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16,032,617.45</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科学技术支出</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82,959.00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82,959.00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1,780,000.00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1,780,000.00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762,959.00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762,959.00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1,100,000.00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1,100,000.00</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20603</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应用研究</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1,100,000.00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1,100,000.00</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2060302</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社会公益研究</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1,100,000.00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1,100,000.00</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20606</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社会科学</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2060699</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其他社会科学支出</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20609</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科技重大项目</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62,959.00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62,959.00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62,959.00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62,959.00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2060902</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重点研发计划</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62,959.00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62,959.00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62,959.00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62,959.00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文化旅游体育与传媒支出</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20799</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其他文化体育与传媒支出</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2079999</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其他文化体育与传媒支出</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30,950,700.00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30,736,700.00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30,669,539.03</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30,485,539.03</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30,485,539.03</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281,160.97</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251,160.97</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30,000.00</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30,766,700.00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30,736,700.00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30,485,539.03</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30,485,539.03</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30,485,539.03</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281,160.97</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251,160.97</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30,000.00</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2080501</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归口管理的行政单位离退休</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322,400.00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322,400.00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322,400.00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322,400.00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322,400.00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30,444,300.00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30,414,300.00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30,163,139.03</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30,163,139.03</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30,163,139.03</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281,160.97</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251,160.97</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30,000.00</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20807</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就业补助</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2080701</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就业创业服务补贴</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节能环保支出</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65,284,272.65</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3,356,927.94</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61,927,344.71</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705,759,100.00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90,509,347.62</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615,249,752.38</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318,180,225.00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91,384,648.99</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53,014,756.11</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38,369,892.88</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226,795,576.01</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452,863,147.65</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2,481,626.57</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450,381,521.08</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450,381,521.08</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21101</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环境保护管理事务</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2,635,279.35</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633,015.50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2,002,263.85</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104,912,897.32</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75,856,587.30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29,056,310.02</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102,701,972.06</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74,978,776.23</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52,753,504.67</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22,225,271.56</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27,723,195.83</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4,846,204.61</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1,510,826.57</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3,335,378.04</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3,335,378.04</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2110101</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566,259.50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566,259.50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75,773,997.32</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74,678,762.14</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1,095,235.18</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74,679,430.25</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73,734,195.07</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52,686,748.67</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21,047,446.40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945,235.18</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1,660,826.57</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1,510,826.57</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150,000.00</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2110102</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39,000.00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4,340,000.00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1,177,825.16</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3,162,174.84</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4,019,000.00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1,177,825.16</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1,177,825.16</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2,841,174.84</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360,000.00</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2110103</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机关服务</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2110104</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生态环境保护宣传</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19,442.84</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19,442.84</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3,400,000.00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3,400,000.00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2,955,097.30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2,955,097.30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464,345.54</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464,345.54</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464,345.54</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2110105</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环境保护法规、规划及标准</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501,000.00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501,000.00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2,143,900.00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2,143,900.00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1,945,300.00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1,945,300.00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699,600.00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699,600.00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699,600.00</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2110106</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生态环境国际合作及履约</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2110108</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应对气候变化管理事务</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8,200,000.00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8,200,000.00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7,238,700.00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7,238,700.00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961,300.00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961,300.00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961,300.00</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2110199</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其他环境保护管理事务支出</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1,509,577.01</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66,756.00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1,442,821.01</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8,955,000.00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8,955,000.00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9,764,444.51</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66,756.00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66,756.00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9,697,688.51</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700,132.50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700,132.50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700,132.50</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21102</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环境监测与监察</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2,697,336.84</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2,697,336.84</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118,412,202.68</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14,476,400.00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103,935,802.68</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20,095,540.03</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13,505,600.00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13,505,600.00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6,589,940.03</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101,013,999.49</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970,800.00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100,043,199.49</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100,043,199.49</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2110203</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建设项目环评审查与监督</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427,798.84</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427,798.84</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647,602.68</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647,602.68</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1,071,771.53</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1,071,771.53</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3,629.99</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3,629.99</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3,629.99</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2110204</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核与辐射安全监督</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2,269,538.00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2,269,538.00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479,000.00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479,000.00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2,748,538.00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2,748,538.00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2110299</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其他环境监测与监察支出</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117,285,600.00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14,476,400.00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102,809,200.00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16,275,230.50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13,505,600.00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13,505,600.00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2,769,630.50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101,010,369.50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970,800.00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100,039,569.50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100,039,569.50</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21103</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污染防治</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35,275,646.95</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35,275,646.95</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323,112,300.00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323,112,300.00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69,662,540.27</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69,662,540.27</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288,725,406.68</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288,725,406.68</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288,725,406.68</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2110301</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大气</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3,725,766.85</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3,725,766.85</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51,383,000.00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51,383,000.00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20,558,766.85</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20,558,766.85</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34,550,000.00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34,550,000.00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34,550,000.00</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2110302</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水体</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1,415,018.00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1,415,018.00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169,910,000.00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169,910,000.00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662,103.00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662,103.00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170,662,915.00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170,662,915.00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170,662,915.00</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2110304</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固体废弃物与化学品</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2110305</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放射源和放射性废物监管</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57,422.14</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57,422.14</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1,794,800.00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1,794,800.00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1,045,998.38</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1,045,998.38</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806,223.76</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806,223.76</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806,223.76</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2110306</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辐射</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7,433,700.00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7,433,700.00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8,027,124.00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8,027,124.00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1,406,576.00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1,406,576.00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1,406,576.00</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2110399</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其他污染防治支出</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22,643,739.96</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22,643,739.96</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97,224,500.00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97,224,500.00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38,568,548.04</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38,568,548.04</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81,299,691.92</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81,299,691.92</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81,299,691.92</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21104</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自然生态保护</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250,000.00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2,000,000.00</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2110402</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农村环境保护</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250,000.00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2,000,000.00</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21111</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污染减排</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8,326,009.51</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8,326,009.51</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155,771,700.00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176,360.32</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155,595,339.68</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108,644,688.91</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176,360.32</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176,360.32</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108,468,328.59</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55,453,020.60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55,453,020.60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55,453,020.60</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2111101</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生态环境监测与信息</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7,762,223.11</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7,762,223.11</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152,589,700.00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176,360.32</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152,413,339.68</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105,435,436.73</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176,360.32</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176,360.32</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105,259,076.41</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54,916,486.38</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54,916,486.38</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54,916,486.38</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2111102</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生态环境执法监察</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1,673,215.78</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1,673,215.78</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466,784.22</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466,784.22</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466,784.22</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2111103</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减排专项支出</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230,250.00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230,250.00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69,750.00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69,750.00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69,750.00</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2111199</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其他污染减排支出</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563,786.40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563,786.40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742,000.00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742,000.00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1,305,786.40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1,305,786.40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21199</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其他节能环保支出</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16,100,000.00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2,723,912.44</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13,376,087.56</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17,075,483.73</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2,723,912.44</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261,251.44</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2,462,661.00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14,351,571.29</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824,516.27</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824,516.27</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824,516.27</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2119901</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其他节能环保支出</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16,100,000.00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2,723,912.44</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13,376,087.56</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17,075,483.73</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2,723,912.44</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261,251.44</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2,462,661.00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14,351,571.29</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824,516.27</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824,516.27</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824,516.27</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城乡社区支出</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2,304,300.00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1,704,300.00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1,981,655.00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1,704,300.00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1,674,300.00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277,355.00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322,645.00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322,645.00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322,645.00</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21201</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城乡社区管理事务</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1,804,300.00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1,704,300.00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1,804,300.00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1,704,300.00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1,674,300.00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2120101</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1,804,300.00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1,704,300.00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1,804,300.00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1,704,300.00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1,674,300.00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21299</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其他城乡社区支出</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177,355.00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177,355.00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322,645.00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322,645.00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322,645.00</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2129901</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其他城乡社区支出</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177,355.00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177,355.00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322,645.00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322,645.00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322,645.00</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农林水支出</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5,303,807.09</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285,354.10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5,018,452.99</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3,940,044.49</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285,354.10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285,354.10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3,654,690.39</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1,363,762.60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1,363,762.60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1,363,762.60</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农业</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5,303,807.09</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285,354.10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5,018,452.99</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3,940,044.49</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285,354.10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285,354.10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3,654,690.39</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1,363,762.60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1,363,762.60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1,363,762.60</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2130101</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285,354.10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285,354.10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285,354.10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285,354.10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285,354.10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2130135</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农业资源保护修复与利用</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2130199</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其他农业支出</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5,018,452.99</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5,018,452.99</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3,654,690.39</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3,654,690.39</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1,363,762.60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1,363,762.60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1,363,762.60</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3,145.30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3,145.30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13,346,100.00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13,346,100.00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13,349,245.30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13,349,245.30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13,349,245.30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10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3,145.30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3,145.30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13,346,100.00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13,346,100.00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13,349,245.30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13,349,245.30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13,349,245.30</w:t>
            </w:r>
          </w:p>
        </w:tc>
        <w:tc>
          <w:tcPr>
            <w:tcW w:w="8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147" w:type="dxa"/>
            <w:gridSpan w:val="3"/>
            <w:tcBorders>
              <w:top w:val="nil"/>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1006" w:type="dxa"/>
            <w:tcBorders>
              <w:top w:val="nil"/>
              <w:left w:val="nil"/>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814" w:type="dxa"/>
            <w:tcBorders>
              <w:top w:val="nil"/>
              <w:left w:val="nil"/>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3,145.30</w:t>
            </w:r>
          </w:p>
        </w:tc>
        <w:tc>
          <w:tcPr>
            <w:tcW w:w="754" w:type="dxa"/>
            <w:tcBorders>
              <w:top w:val="nil"/>
              <w:left w:val="nil"/>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3,145.30</w:t>
            </w:r>
          </w:p>
        </w:tc>
        <w:tc>
          <w:tcPr>
            <w:tcW w:w="814" w:type="dxa"/>
            <w:tcBorders>
              <w:top w:val="nil"/>
              <w:left w:val="nil"/>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13,346,100.00</w:t>
            </w:r>
          </w:p>
        </w:tc>
        <w:tc>
          <w:tcPr>
            <w:tcW w:w="874" w:type="dxa"/>
            <w:tcBorders>
              <w:top w:val="nil"/>
              <w:left w:val="nil"/>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13,346,100.00</w:t>
            </w:r>
          </w:p>
        </w:tc>
        <w:tc>
          <w:tcPr>
            <w:tcW w:w="874" w:type="dxa"/>
            <w:tcBorders>
              <w:top w:val="nil"/>
              <w:left w:val="nil"/>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13,349,245.30</w:t>
            </w:r>
          </w:p>
        </w:tc>
        <w:tc>
          <w:tcPr>
            <w:tcW w:w="874" w:type="dxa"/>
            <w:tcBorders>
              <w:top w:val="nil"/>
              <w:left w:val="nil"/>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13,349,245.30</w:t>
            </w:r>
          </w:p>
        </w:tc>
        <w:tc>
          <w:tcPr>
            <w:tcW w:w="874" w:type="dxa"/>
            <w:tcBorders>
              <w:top w:val="nil"/>
              <w:left w:val="nil"/>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13,349,245.30</w:t>
            </w:r>
          </w:p>
        </w:tc>
        <w:tc>
          <w:tcPr>
            <w:tcW w:w="814" w:type="dxa"/>
            <w:tcBorders>
              <w:top w:val="nil"/>
              <w:left w:val="nil"/>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4" w:type="dxa"/>
            <w:tcBorders>
              <w:top w:val="nil"/>
              <w:left w:val="nil"/>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4" w:type="dxa"/>
            <w:tcBorders>
              <w:top w:val="nil"/>
              <w:left w:val="nil"/>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bl>
    <w:p>
      <w:pPr>
        <w:widowControl/>
        <w:jc w:val="center"/>
        <w:rPr>
          <w:rFonts w:hint="eastAsia" w:ascii="Times New Roman" w:hAnsi="Times New Roman" w:eastAsia="仿宋_GB2312" w:cs="Times New Roman"/>
          <w:kern w:val="0"/>
          <w:szCs w:val="21"/>
        </w:rPr>
      </w:pPr>
    </w:p>
    <w:p>
      <w:pPr>
        <w:widowControl/>
        <w:jc w:val="both"/>
        <w:rPr>
          <w:rFonts w:ascii="Times New Roman" w:hAnsi="Times New Roman" w:eastAsia="仿宋_GB2312" w:cs="Times New Roman"/>
          <w:kern w:val="0"/>
          <w:szCs w:val="21"/>
        </w:rPr>
      </w:pPr>
      <w:r>
        <w:rPr>
          <w:rFonts w:ascii="Times New Roman" w:hAnsi="Times New Roman" w:eastAsia="仿宋_GB2312" w:cs="Times New Roman"/>
          <w:kern w:val="0"/>
          <w:szCs w:val="21"/>
        </w:rPr>
        <w:br w:type="page"/>
      </w:r>
      <w:bookmarkStart w:id="0" w:name="RANGE!A1:I39"/>
    </w:p>
    <w:tbl>
      <w:tblPr>
        <w:tblStyle w:val="8"/>
        <w:tblW w:w="14173" w:type="dxa"/>
        <w:tblInd w:w="0" w:type="dxa"/>
        <w:shd w:val="clear" w:color="auto" w:fill="auto"/>
        <w:tblLayout w:type="fixed"/>
        <w:tblCellMar>
          <w:top w:w="0" w:type="dxa"/>
          <w:left w:w="0" w:type="dxa"/>
          <w:bottom w:w="0" w:type="dxa"/>
          <w:right w:w="0" w:type="dxa"/>
        </w:tblCellMar>
      </w:tblPr>
      <w:tblGrid>
        <w:gridCol w:w="302"/>
        <w:gridCol w:w="194"/>
        <w:gridCol w:w="194"/>
        <w:gridCol w:w="959"/>
        <w:gridCol w:w="1192"/>
        <w:gridCol w:w="1210"/>
        <w:gridCol w:w="882"/>
        <w:gridCol w:w="1077"/>
        <w:gridCol w:w="1077"/>
        <w:gridCol w:w="724"/>
        <w:gridCol w:w="2402"/>
        <w:gridCol w:w="1443"/>
        <w:gridCol w:w="768"/>
        <w:gridCol w:w="1184"/>
        <w:gridCol w:w="565"/>
      </w:tblGrid>
      <w:tr>
        <w:tblPrEx>
          <w:shd w:val="clear" w:color="auto" w:fill="auto"/>
          <w:tblLayout w:type="fixed"/>
          <w:tblCellMar>
            <w:top w:w="0" w:type="dxa"/>
            <w:left w:w="0" w:type="dxa"/>
            <w:bottom w:w="0" w:type="dxa"/>
            <w:right w:w="0" w:type="dxa"/>
          </w:tblCellMar>
        </w:tblPrEx>
        <w:trPr>
          <w:trHeight w:val="285" w:hRule="atLeast"/>
        </w:trPr>
        <w:tc>
          <w:tcPr>
            <w:tcW w:w="14173" w:type="dxa"/>
            <w:gridSpan w:val="15"/>
            <w:tcBorders>
              <w:top w:val="nil"/>
              <w:left w:val="nil"/>
              <w:bottom w:val="nil"/>
              <w:right w:val="nil"/>
            </w:tcBorders>
            <w:shd w:val="clear" w:color="auto" w:fill="auto"/>
            <w:tcMar>
              <w:top w:w="15" w:type="dxa"/>
              <w:left w:w="15" w:type="dxa"/>
              <w:right w:w="15" w:type="dxa"/>
            </w:tcMar>
            <w:vAlign w:val="bottom"/>
          </w:tcPr>
          <w:p>
            <w:pPr>
              <w:widowControl/>
              <w:jc w:val="center"/>
              <w:rPr>
                <w:rFonts w:hint="default" w:ascii="Times New Roman" w:hAnsi="Times New Roman" w:eastAsia="方正小标宋_GBK" w:cs="Times New Roman"/>
                <w:color w:val="000000"/>
                <w:kern w:val="0"/>
                <w:sz w:val="28"/>
                <w:szCs w:val="36"/>
                <w:lang w:val="en-US" w:eastAsia="zh-CN"/>
              </w:rPr>
            </w:pPr>
            <w:r>
              <w:rPr>
                <w:rFonts w:hint="eastAsia" w:ascii="Times New Roman" w:hAnsi="Times New Roman" w:eastAsia="方正小标宋_GBK" w:cs="Times New Roman"/>
                <w:color w:val="000000"/>
                <w:kern w:val="0"/>
                <w:sz w:val="28"/>
                <w:szCs w:val="36"/>
                <w:lang w:val="en-US" w:eastAsia="zh-CN"/>
              </w:rPr>
              <w:t xml:space="preserve">                                   </w:t>
            </w:r>
            <w:r>
              <w:rPr>
                <w:rFonts w:hint="eastAsia" w:ascii="Times New Roman" w:hAnsi="Times New Roman" w:eastAsia="方正小标宋_GBK" w:cs="Times New Roman"/>
                <w:color w:val="000000"/>
                <w:kern w:val="0"/>
                <w:sz w:val="28"/>
                <w:szCs w:val="36"/>
              </w:rPr>
              <w:t>一般公共预算财政拨款支出决算表</w:t>
            </w:r>
            <w:r>
              <w:rPr>
                <w:rFonts w:hint="eastAsia" w:ascii="Times New Roman" w:hAnsi="Times New Roman" w:eastAsia="方正小标宋_GBK" w:cs="Times New Roman"/>
                <w:color w:val="000000"/>
                <w:kern w:val="0"/>
                <w:sz w:val="28"/>
                <w:szCs w:val="36"/>
                <w:lang w:val="en-US" w:eastAsia="zh-CN"/>
              </w:rPr>
              <w:t xml:space="preserve">                     公开05表</w:t>
            </w:r>
          </w:p>
          <w:p>
            <w:pPr>
              <w:rPr>
                <w:rFonts w:hint="default" w:ascii="Arial" w:hAnsi="Arial" w:cs="Arial"/>
                <w:i w:val="0"/>
                <w:color w:val="000000"/>
                <w:sz w:val="20"/>
                <w:szCs w:val="20"/>
                <w:u w:val="none"/>
              </w:rPr>
            </w:pPr>
          </w:p>
          <w:p>
            <w:pPr>
              <w:rPr>
                <w:rFonts w:hint="default" w:ascii="Arial" w:hAnsi="Arial" w:cs="Arial"/>
                <w:i w:val="0"/>
                <w:color w:val="000000"/>
                <w:sz w:val="20"/>
                <w:szCs w:val="20"/>
                <w:u w:val="none"/>
              </w:rPr>
            </w:pPr>
          </w:p>
        </w:tc>
      </w:tr>
      <w:tr>
        <w:tblPrEx>
          <w:tblLayout w:type="fixed"/>
          <w:tblCellMar>
            <w:top w:w="0" w:type="dxa"/>
            <w:left w:w="0" w:type="dxa"/>
            <w:bottom w:w="0" w:type="dxa"/>
            <w:right w:w="0" w:type="dxa"/>
          </w:tblCellMar>
        </w:tblPrEx>
        <w:trPr>
          <w:trHeight w:val="306" w:hRule="atLeast"/>
        </w:trPr>
        <w:tc>
          <w:tcPr>
            <w:tcW w:w="1649" w:type="dxa"/>
            <w:gridSpan w:val="4"/>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192"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10"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882"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1077"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1077"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债务利息及费用支出</w:t>
            </w:r>
          </w:p>
        </w:tc>
        <w:tc>
          <w:tcPr>
            <w:tcW w:w="724"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资本性支出（基本建设）</w:t>
            </w:r>
          </w:p>
        </w:tc>
        <w:tc>
          <w:tcPr>
            <w:tcW w:w="2402"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1443"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对企业补助（基本建设）</w:t>
            </w:r>
          </w:p>
        </w:tc>
        <w:tc>
          <w:tcPr>
            <w:tcW w:w="768"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对企业补助</w:t>
            </w:r>
          </w:p>
        </w:tc>
        <w:tc>
          <w:tcPr>
            <w:tcW w:w="1184"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对社会保障基金补助</w:t>
            </w:r>
          </w:p>
        </w:tc>
        <w:tc>
          <w:tcPr>
            <w:tcW w:w="565"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r>
      <w:tr>
        <w:tblPrEx>
          <w:tblLayout w:type="fixed"/>
          <w:tblCellMar>
            <w:top w:w="0" w:type="dxa"/>
            <w:left w:w="0" w:type="dxa"/>
            <w:bottom w:w="0" w:type="dxa"/>
            <w:right w:w="0" w:type="dxa"/>
          </w:tblCellMar>
        </w:tblPrEx>
        <w:trPr>
          <w:trHeight w:val="312" w:hRule="atLeast"/>
        </w:trPr>
        <w:tc>
          <w:tcPr>
            <w:tcW w:w="690"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支出功能分类科目编码</w:t>
            </w:r>
          </w:p>
        </w:tc>
        <w:tc>
          <w:tcPr>
            <w:tcW w:w="959"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19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882"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077"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077"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724"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2402"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4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768"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184"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56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r>
      <w:tr>
        <w:tblPrEx>
          <w:tblLayout w:type="fixed"/>
          <w:tblCellMar>
            <w:top w:w="0" w:type="dxa"/>
            <w:left w:w="0" w:type="dxa"/>
            <w:bottom w:w="0" w:type="dxa"/>
            <w:right w:w="0" w:type="dxa"/>
          </w:tblCellMar>
        </w:tblPrEx>
        <w:trPr>
          <w:trHeight w:val="312" w:hRule="atLeast"/>
        </w:trPr>
        <w:tc>
          <w:tcPr>
            <w:tcW w:w="690"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59"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82"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7"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7"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2"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8"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trPr>
        <w:tc>
          <w:tcPr>
            <w:tcW w:w="690"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59"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82"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7"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7"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2"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8"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6" w:hRule="atLeast"/>
        </w:trPr>
        <w:tc>
          <w:tcPr>
            <w:tcW w:w="302"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194"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194"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95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19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1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8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07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07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72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240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w:t>
            </w:r>
          </w:p>
        </w:tc>
        <w:tc>
          <w:tcPr>
            <w:tcW w:w="144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w:t>
            </w:r>
          </w:p>
        </w:tc>
        <w:tc>
          <w:tcPr>
            <w:tcW w:w="76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w:t>
            </w:r>
          </w:p>
        </w:tc>
        <w:tc>
          <w:tcPr>
            <w:tcW w:w="118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56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w:t>
            </w:r>
          </w:p>
        </w:tc>
      </w:tr>
      <w:tr>
        <w:tblPrEx>
          <w:tblLayout w:type="fixed"/>
          <w:tblCellMar>
            <w:top w:w="0" w:type="dxa"/>
            <w:left w:w="0" w:type="dxa"/>
            <w:bottom w:w="0" w:type="dxa"/>
            <w:right w:w="0" w:type="dxa"/>
          </w:tblCellMar>
        </w:tblPrEx>
        <w:trPr>
          <w:trHeight w:val="306" w:hRule="atLeast"/>
        </w:trPr>
        <w:tc>
          <w:tcPr>
            <w:tcW w:w="302"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5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63,986,146.43</w:t>
            </w:r>
          </w:p>
        </w:tc>
        <w:tc>
          <w:tcPr>
            <w:tcW w:w="12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26,846,013.33</w:t>
            </w:r>
          </w:p>
        </w:tc>
        <w:tc>
          <w:tcPr>
            <w:tcW w:w="8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26,785,867.76</w:t>
            </w:r>
          </w:p>
        </w:tc>
        <w:tc>
          <w:tcPr>
            <w:tcW w:w="10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1,315,580.16</w:t>
            </w:r>
          </w:p>
        </w:tc>
        <w:tc>
          <w:tcPr>
            <w:tcW w:w="10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9,038,685.18</w:t>
            </w:r>
          </w:p>
        </w:tc>
        <w:tc>
          <w:tcPr>
            <w:tcW w:w="14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6" w:hRule="atLeast"/>
        </w:trPr>
        <w:tc>
          <w:tcPr>
            <w:tcW w:w="69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9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2,421,000.00</w:t>
            </w:r>
          </w:p>
        </w:tc>
        <w:tc>
          <w:tcPr>
            <w:tcW w:w="12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2,421,000.00</w:t>
            </w:r>
          </w:p>
        </w:tc>
        <w:tc>
          <w:tcPr>
            <w:tcW w:w="8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6" w:hRule="atLeast"/>
        </w:trPr>
        <w:tc>
          <w:tcPr>
            <w:tcW w:w="69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20101</w:t>
            </w:r>
          </w:p>
        </w:tc>
        <w:tc>
          <w:tcPr>
            <w:tcW w:w="9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人大事务</w:t>
            </w: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2,421,000.00</w:t>
            </w:r>
          </w:p>
        </w:tc>
        <w:tc>
          <w:tcPr>
            <w:tcW w:w="12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2,421,000.00</w:t>
            </w:r>
          </w:p>
        </w:tc>
        <w:tc>
          <w:tcPr>
            <w:tcW w:w="8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6" w:hRule="atLeast"/>
        </w:trPr>
        <w:tc>
          <w:tcPr>
            <w:tcW w:w="69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2010101</w:t>
            </w:r>
          </w:p>
        </w:tc>
        <w:tc>
          <w:tcPr>
            <w:tcW w:w="9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2,421,000.00</w:t>
            </w:r>
          </w:p>
        </w:tc>
        <w:tc>
          <w:tcPr>
            <w:tcW w:w="12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2,421,000.00</w:t>
            </w:r>
          </w:p>
        </w:tc>
        <w:tc>
          <w:tcPr>
            <w:tcW w:w="8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6" w:hRule="atLeast"/>
        </w:trPr>
        <w:tc>
          <w:tcPr>
            <w:tcW w:w="69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9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5,774,400.00</w:t>
            </w:r>
          </w:p>
        </w:tc>
        <w:tc>
          <w:tcPr>
            <w:tcW w:w="12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5,494,600.00</w:t>
            </w:r>
          </w:p>
        </w:tc>
        <w:tc>
          <w:tcPr>
            <w:tcW w:w="8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279,800.00</w:t>
            </w:r>
          </w:p>
        </w:tc>
        <w:tc>
          <w:tcPr>
            <w:tcW w:w="10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6" w:hRule="atLeast"/>
        </w:trPr>
        <w:tc>
          <w:tcPr>
            <w:tcW w:w="69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9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5,774,400.00</w:t>
            </w:r>
          </w:p>
        </w:tc>
        <w:tc>
          <w:tcPr>
            <w:tcW w:w="12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5,494,600.00</w:t>
            </w:r>
          </w:p>
        </w:tc>
        <w:tc>
          <w:tcPr>
            <w:tcW w:w="8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279,800.00</w:t>
            </w:r>
          </w:p>
        </w:tc>
        <w:tc>
          <w:tcPr>
            <w:tcW w:w="10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6" w:hRule="atLeast"/>
        </w:trPr>
        <w:tc>
          <w:tcPr>
            <w:tcW w:w="69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2080501</w:t>
            </w:r>
          </w:p>
        </w:tc>
        <w:tc>
          <w:tcPr>
            <w:tcW w:w="9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归口管理的行政单位离退休</w:t>
            </w: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279,800.00</w:t>
            </w:r>
          </w:p>
        </w:tc>
        <w:tc>
          <w:tcPr>
            <w:tcW w:w="12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279,800.00</w:t>
            </w:r>
          </w:p>
        </w:tc>
        <w:tc>
          <w:tcPr>
            <w:tcW w:w="10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6" w:hRule="atLeast"/>
        </w:trPr>
        <w:tc>
          <w:tcPr>
            <w:tcW w:w="69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9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5,494,600.00</w:t>
            </w:r>
          </w:p>
        </w:tc>
        <w:tc>
          <w:tcPr>
            <w:tcW w:w="12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5,494,600.00</w:t>
            </w:r>
          </w:p>
        </w:tc>
        <w:tc>
          <w:tcPr>
            <w:tcW w:w="8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6" w:hRule="atLeast"/>
        </w:trPr>
        <w:tc>
          <w:tcPr>
            <w:tcW w:w="69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w:t>
            </w:r>
          </w:p>
        </w:tc>
        <w:tc>
          <w:tcPr>
            <w:tcW w:w="9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节能环保支出</w:t>
            </w: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53,523,046.43</w:t>
            </w:r>
          </w:p>
        </w:tc>
        <w:tc>
          <w:tcPr>
            <w:tcW w:w="12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16,662,713.33</w:t>
            </w:r>
          </w:p>
        </w:tc>
        <w:tc>
          <w:tcPr>
            <w:tcW w:w="8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26,785,867.76</w:t>
            </w:r>
          </w:p>
        </w:tc>
        <w:tc>
          <w:tcPr>
            <w:tcW w:w="10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1,035,780.16</w:t>
            </w:r>
          </w:p>
        </w:tc>
        <w:tc>
          <w:tcPr>
            <w:tcW w:w="10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9,038,685.18</w:t>
            </w:r>
          </w:p>
        </w:tc>
        <w:tc>
          <w:tcPr>
            <w:tcW w:w="14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6" w:hRule="atLeast"/>
        </w:trPr>
        <w:tc>
          <w:tcPr>
            <w:tcW w:w="69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21101</w:t>
            </w:r>
          </w:p>
        </w:tc>
        <w:tc>
          <w:tcPr>
            <w:tcW w:w="9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环境保护管理事务</w:t>
            </w: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41,503,736.36</w:t>
            </w:r>
          </w:p>
        </w:tc>
        <w:tc>
          <w:tcPr>
            <w:tcW w:w="12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16,401,461.89</w:t>
            </w:r>
          </w:p>
        </w:tc>
        <w:tc>
          <w:tcPr>
            <w:tcW w:w="8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23,028,859.13</w:t>
            </w:r>
          </w:p>
        </w:tc>
        <w:tc>
          <w:tcPr>
            <w:tcW w:w="10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1,035,780.16</w:t>
            </w:r>
          </w:p>
        </w:tc>
        <w:tc>
          <w:tcPr>
            <w:tcW w:w="10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1,037,635.18</w:t>
            </w:r>
          </w:p>
        </w:tc>
        <w:tc>
          <w:tcPr>
            <w:tcW w:w="14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6" w:hRule="atLeast"/>
        </w:trPr>
        <w:tc>
          <w:tcPr>
            <w:tcW w:w="69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2110101</w:t>
            </w:r>
          </w:p>
        </w:tc>
        <w:tc>
          <w:tcPr>
            <w:tcW w:w="9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29,154,280.36</w:t>
            </w:r>
          </w:p>
        </w:tc>
        <w:tc>
          <w:tcPr>
            <w:tcW w:w="12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16,334,705.89</w:t>
            </w:r>
          </w:p>
        </w:tc>
        <w:tc>
          <w:tcPr>
            <w:tcW w:w="8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10,746,159.13</w:t>
            </w:r>
          </w:p>
        </w:tc>
        <w:tc>
          <w:tcPr>
            <w:tcW w:w="10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1,035,780.16</w:t>
            </w:r>
          </w:p>
        </w:tc>
        <w:tc>
          <w:tcPr>
            <w:tcW w:w="10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1,037,635.18</w:t>
            </w:r>
          </w:p>
        </w:tc>
        <w:tc>
          <w:tcPr>
            <w:tcW w:w="14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6" w:hRule="atLeast"/>
        </w:trPr>
        <w:tc>
          <w:tcPr>
            <w:tcW w:w="69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2110102</w:t>
            </w:r>
          </w:p>
        </w:tc>
        <w:tc>
          <w:tcPr>
            <w:tcW w:w="9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4,019,000.00</w:t>
            </w:r>
          </w:p>
        </w:tc>
        <w:tc>
          <w:tcPr>
            <w:tcW w:w="12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4,019,000.00</w:t>
            </w:r>
          </w:p>
        </w:tc>
        <w:tc>
          <w:tcPr>
            <w:tcW w:w="10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6" w:hRule="atLeast"/>
        </w:trPr>
        <w:tc>
          <w:tcPr>
            <w:tcW w:w="69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2110103</w:t>
            </w:r>
          </w:p>
        </w:tc>
        <w:tc>
          <w:tcPr>
            <w:tcW w:w="9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机关服务</w:t>
            </w: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1,200,000.00</w:t>
            </w:r>
          </w:p>
        </w:tc>
        <w:tc>
          <w:tcPr>
            <w:tcW w:w="12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1,200,000.00</w:t>
            </w:r>
          </w:p>
        </w:tc>
        <w:tc>
          <w:tcPr>
            <w:tcW w:w="10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6" w:hRule="atLeast"/>
        </w:trPr>
        <w:tc>
          <w:tcPr>
            <w:tcW w:w="69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2110108</w:t>
            </w:r>
          </w:p>
        </w:tc>
        <w:tc>
          <w:tcPr>
            <w:tcW w:w="9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应对气候变化管理事务</w:t>
            </w: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7,063,700.00</w:t>
            </w:r>
          </w:p>
        </w:tc>
        <w:tc>
          <w:tcPr>
            <w:tcW w:w="12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7,063,700.00</w:t>
            </w:r>
          </w:p>
        </w:tc>
        <w:tc>
          <w:tcPr>
            <w:tcW w:w="10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69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2110199</w:t>
            </w:r>
          </w:p>
        </w:tc>
        <w:tc>
          <w:tcPr>
            <w:tcW w:w="9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其他环境保护管理事务支出</w:t>
            </w: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66,756.00</w:t>
            </w:r>
          </w:p>
        </w:tc>
        <w:tc>
          <w:tcPr>
            <w:tcW w:w="12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66,756.00</w:t>
            </w:r>
          </w:p>
        </w:tc>
        <w:tc>
          <w:tcPr>
            <w:tcW w:w="8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69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21111</w:t>
            </w:r>
          </w:p>
        </w:tc>
        <w:tc>
          <w:tcPr>
            <w:tcW w:w="9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污染减排</w:t>
            </w: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4,019,310.07</w:t>
            </w:r>
          </w:p>
        </w:tc>
        <w:tc>
          <w:tcPr>
            <w:tcW w:w="12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3,589,013.89</w:t>
            </w:r>
          </w:p>
        </w:tc>
        <w:tc>
          <w:tcPr>
            <w:tcW w:w="10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430,296.18</w:t>
            </w:r>
          </w:p>
        </w:tc>
        <w:tc>
          <w:tcPr>
            <w:tcW w:w="14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69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2111101</w:t>
            </w:r>
          </w:p>
        </w:tc>
        <w:tc>
          <w:tcPr>
            <w:tcW w:w="9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生态环境监测与信息</w:t>
            </w: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3,936,747.11</w:t>
            </w:r>
          </w:p>
        </w:tc>
        <w:tc>
          <w:tcPr>
            <w:tcW w:w="12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3,506,450.93</w:t>
            </w:r>
          </w:p>
        </w:tc>
        <w:tc>
          <w:tcPr>
            <w:tcW w:w="10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430,296.18</w:t>
            </w:r>
          </w:p>
        </w:tc>
        <w:tc>
          <w:tcPr>
            <w:tcW w:w="14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69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2111102</w:t>
            </w:r>
          </w:p>
        </w:tc>
        <w:tc>
          <w:tcPr>
            <w:tcW w:w="9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生态环境执法监察</w:t>
            </w: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82,562.96</w:t>
            </w:r>
          </w:p>
        </w:tc>
        <w:tc>
          <w:tcPr>
            <w:tcW w:w="12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82,562.96</w:t>
            </w:r>
          </w:p>
        </w:tc>
        <w:tc>
          <w:tcPr>
            <w:tcW w:w="10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69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21199</w:t>
            </w:r>
          </w:p>
        </w:tc>
        <w:tc>
          <w:tcPr>
            <w:tcW w:w="9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其他节能环保支出</w:t>
            </w: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8,000,000.00</w:t>
            </w:r>
          </w:p>
        </w:tc>
        <w:tc>
          <w:tcPr>
            <w:tcW w:w="12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261,251.44</w:t>
            </w:r>
          </w:p>
        </w:tc>
        <w:tc>
          <w:tcPr>
            <w:tcW w:w="8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167,994.74</w:t>
            </w:r>
          </w:p>
        </w:tc>
        <w:tc>
          <w:tcPr>
            <w:tcW w:w="10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7,570,753.82</w:t>
            </w:r>
          </w:p>
        </w:tc>
        <w:tc>
          <w:tcPr>
            <w:tcW w:w="14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69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2119901</w:t>
            </w:r>
          </w:p>
        </w:tc>
        <w:tc>
          <w:tcPr>
            <w:tcW w:w="9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其他节能环保支出</w:t>
            </w: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8,000,000.00</w:t>
            </w:r>
          </w:p>
        </w:tc>
        <w:tc>
          <w:tcPr>
            <w:tcW w:w="12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261,251.44</w:t>
            </w:r>
          </w:p>
        </w:tc>
        <w:tc>
          <w:tcPr>
            <w:tcW w:w="8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167,994.74</w:t>
            </w:r>
          </w:p>
        </w:tc>
        <w:tc>
          <w:tcPr>
            <w:tcW w:w="10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7,570,753.82</w:t>
            </w:r>
          </w:p>
        </w:tc>
        <w:tc>
          <w:tcPr>
            <w:tcW w:w="14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69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9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2,267,700.00</w:t>
            </w:r>
          </w:p>
        </w:tc>
        <w:tc>
          <w:tcPr>
            <w:tcW w:w="12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2,267,700.00</w:t>
            </w:r>
          </w:p>
        </w:tc>
        <w:tc>
          <w:tcPr>
            <w:tcW w:w="8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69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9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2,267,700.00</w:t>
            </w:r>
          </w:p>
        </w:tc>
        <w:tc>
          <w:tcPr>
            <w:tcW w:w="12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2,267,700.00</w:t>
            </w:r>
          </w:p>
        </w:tc>
        <w:tc>
          <w:tcPr>
            <w:tcW w:w="8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690" w:type="dxa"/>
            <w:gridSpan w:val="3"/>
            <w:tcBorders>
              <w:top w:val="nil"/>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959" w:type="dxa"/>
            <w:tcBorders>
              <w:top w:val="nil"/>
              <w:left w:val="nil"/>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192" w:type="dxa"/>
            <w:tcBorders>
              <w:top w:val="nil"/>
              <w:left w:val="nil"/>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2,267,700.00</w:t>
            </w:r>
          </w:p>
        </w:tc>
        <w:tc>
          <w:tcPr>
            <w:tcW w:w="1210" w:type="dxa"/>
            <w:tcBorders>
              <w:top w:val="nil"/>
              <w:left w:val="nil"/>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2,267,700.00</w:t>
            </w:r>
          </w:p>
        </w:tc>
        <w:tc>
          <w:tcPr>
            <w:tcW w:w="882" w:type="dxa"/>
            <w:tcBorders>
              <w:top w:val="nil"/>
              <w:left w:val="nil"/>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7" w:type="dxa"/>
            <w:tcBorders>
              <w:top w:val="nil"/>
              <w:left w:val="nil"/>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7" w:type="dxa"/>
            <w:tcBorders>
              <w:top w:val="nil"/>
              <w:left w:val="nil"/>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24" w:type="dxa"/>
            <w:tcBorders>
              <w:top w:val="nil"/>
              <w:left w:val="nil"/>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02" w:type="dxa"/>
            <w:tcBorders>
              <w:top w:val="nil"/>
              <w:left w:val="nil"/>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43" w:type="dxa"/>
            <w:tcBorders>
              <w:top w:val="nil"/>
              <w:left w:val="nil"/>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68" w:type="dxa"/>
            <w:tcBorders>
              <w:top w:val="nil"/>
              <w:left w:val="nil"/>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4" w:type="dxa"/>
            <w:tcBorders>
              <w:top w:val="nil"/>
              <w:left w:val="nil"/>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5" w:type="dxa"/>
            <w:tcBorders>
              <w:top w:val="nil"/>
              <w:left w:val="nil"/>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bl>
    <w:p>
      <w:pPr>
        <w:widowControl/>
        <w:jc w:val="center"/>
        <w:rPr>
          <w:rFonts w:ascii="Times New Roman" w:hAnsi="Times New Roman" w:eastAsia="方正小标宋_GBK" w:cs="Times New Roman"/>
          <w:color w:val="000000"/>
          <w:kern w:val="0"/>
          <w:sz w:val="28"/>
          <w:szCs w:val="36"/>
        </w:rPr>
      </w:pPr>
    </w:p>
    <w:p>
      <w:pPr>
        <w:widowControl/>
        <w:jc w:val="center"/>
        <w:rPr>
          <w:rFonts w:ascii="Times New Roman" w:hAnsi="Times New Roman" w:eastAsia="方正小标宋_GBK" w:cs="Times New Roman"/>
          <w:color w:val="000000"/>
          <w:kern w:val="0"/>
          <w:sz w:val="28"/>
          <w:szCs w:val="36"/>
        </w:rPr>
      </w:pPr>
      <w:r>
        <w:rPr>
          <w:rFonts w:ascii="Times New Roman" w:hAnsi="Times New Roman" w:eastAsia="方正小标宋_GBK" w:cs="Times New Roman"/>
          <w:color w:val="000000"/>
          <w:kern w:val="0"/>
          <w:sz w:val="28"/>
          <w:szCs w:val="36"/>
        </w:rPr>
        <w:t>一般公共预算财政拨款基本支出决算表</w:t>
      </w:r>
      <w:bookmarkEnd w:id="0"/>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湖南省生态环境厅</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公开06表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单位：元</w:t>
      </w:r>
    </w:p>
    <w:tbl>
      <w:tblPr>
        <w:tblStyle w:val="8"/>
        <w:tblW w:w="15428" w:type="dxa"/>
        <w:tblInd w:w="0" w:type="dxa"/>
        <w:shd w:val="clear" w:color="auto" w:fill="auto"/>
        <w:tblLayout w:type="fixed"/>
        <w:tblCellMar>
          <w:top w:w="0" w:type="dxa"/>
          <w:left w:w="0" w:type="dxa"/>
          <w:bottom w:w="0" w:type="dxa"/>
          <w:right w:w="0" w:type="dxa"/>
        </w:tblCellMar>
      </w:tblPr>
      <w:tblGrid>
        <w:gridCol w:w="812"/>
        <w:gridCol w:w="3032"/>
        <w:gridCol w:w="1432"/>
        <w:gridCol w:w="812"/>
        <w:gridCol w:w="2032"/>
        <w:gridCol w:w="1332"/>
        <w:gridCol w:w="812"/>
        <w:gridCol w:w="3832"/>
        <w:gridCol w:w="1332"/>
      </w:tblGrid>
      <w:tr>
        <w:tblPrEx>
          <w:shd w:val="clear" w:color="auto" w:fill="auto"/>
          <w:tblLayout w:type="fixed"/>
          <w:tblCellMar>
            <w:top w:w="0" w:type="dxa"/>
            <w:left w:w="0" w:type="dxa"/>
            <w:bottom w:w="0" w:type="dxa"/>
            <w:right w:w="0" w:type="dxa"/>
          </w:tblCellMar>
        </w:tblPrEx>
        <w:trPr>
          <w:trHeight w:val="300" w:hRule="atLeast"/>
        </w:trPr>
        <w:tc>
          <w:tcPr>
            <w:tcW w:w="5276" w:type="dxa"/>
            <w:gridSpan w:val="3"/>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w:t>
            </w:r>
          </w:p>
        </w:tc>
        <w:tc>
          <w:tcPr>
            <w:tcW w:w="10152" w:type="dxa"/>
            <w:gridSpan w:val="6"/>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w:t>
            </w:r>
          </w:p>
        </w:tc>
      </w:tr>
      <w:tr>
        <w:tblPrEx>
          <w:tblLayout w:type="fixed"/>
          <w:tblCellMar>
            <w:top w:w="0" w:type="dxa"/>
            <w:left w:w="0" w:type="dxa"/>
            <w:bottom w:w="0" w:type="dxa"/>
            <w:right w:w="0" w:type="dxa"/>
          </w:tblCellMar>
        </w:tblPrEx>
        <w:trPr>
          <w:trHeight w:val="300" w:hRule="atLeast"/>
        </w:trPr>
        <w:tc>
          <w:tcPr>
            <w:tcW w:w="812"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3032"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432"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812"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032"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332"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812"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3832"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332"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Layout w:type="fixed"/>
          <w:tblCellMar>
            <w:top w:w="0" w:type="dxa"/>
            <w:left w:w="0" w:type="dxa"/>
            <w:bottom w:w="0" w:type="dxa"/>
            <w:right w:w="0" w:type="dxa"/>
          </w:tblCellMar>
        </w:tblPrEx>
        <w:trPr>
          <w:trHeight w:val="300" w:hRule="atLeast"/>
        </w:trPr>
        <w:tc>
          <w:tcPr>
            <w:tcW w:w="812"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3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3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1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3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3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1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83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3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812"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30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14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140,980,397.26</w:t>
            </w:r>
          </w:p>
        </w:tc>
        <w:tc>
          <w:tcPr>
            <w:tcW w:w="8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20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13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44,504,094.06</w:t>
            </w:r>
          </w:p>
        </w:tc>
        <w:tc>
          <w:tcPr>
            <w:tcW w:w="8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38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债务利息及费用支出</w:t>
            </w:r>
          </w:p>
        </w:tc>
        <w:tc>
          <w:tcPr>
            <w:tcW w:w="13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812"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w:t>
            </w:r>
          </w:p>
        </w:tc>
        <w:tc>
          <w:tcPr>
            <w:tcW w:w="30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基本工资</w:t>
            </w:r>
          </w:p>
        </w:tc>
        <w:tc>
          <w:tcPr>
            <w:tcW w:w="14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34,420,681.07</w:t>
            </w:r>
          </w:p>
        </w:tc>
        <w:tc>
          <w:tcPr>
            <w:tcW w:w="8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30201</w:t>
            </w:r>
          </w:p>
        </w:tc>
        <w:tc>
          <w:tcPr>
            <w:tcW w:w="20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办公费</w:t>
            </w:r>
          </w:p>
        </w:tc>
        <w:tc>
          <w:tcPr>
            <w:tcW w:w="13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1,607,532.61</w:t>
            </w:r>
          </w:p>
        </w:tc>
        <w:tc>
          <w:tcPr>
            <w:tcW w:w="8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30701</w:t>
            </w:r>
          </w:p>
        </w:tc>
        <w:tc>
          <w:tcPr>
            <w:tcW w:w="38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国内债务付息</w:t>
            </w:r>
          </w:p>
        </w:tc>
        <w:tc>
          <w:tcPr>
            <w:tcW w:w="13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812"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30102</w:t>
            </w:r>
          </w:p>
        </w:tc>
        <w:tc>
          <w:tcPr>
            <w:tcW w:w="30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津贴补贴</w:t>
            </w:r>
          </w:p>
        </w:tc>
        <w:tc>
          <w:tcPr>
            <w:tcW w:w="14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12,331,211.41</w:t>
            </w:r>
          </w:p>
        </w:tc>
        <w:tc>
          <w:tcPr>
            <w:tcW w:w="8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30202</w:t>
            </w:r>
          </w:p>
        </w:tc>
        <w:tc>
          <w:tcPr>
            <w:tcW w:w="20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印刷费</w:t>
            </w:r>
          </w:p>
        </w:tc>
        <w:tc>
          <w:tcPr>
            <w:tcW w:w="13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727,882.84</w:t>
            </w:r>
          </w:p>
        </w:tc>
        <w:tc>
          <w:tcPr>
            <w:tcW w:w="8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30702</w:t>
            </w:r>
          </w:p>
        </w:tc>
        <w:tc>
          <w:tcPr>
            <w:tcW w:w="38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国外债务付息</w:t>
            </w:r>
          </w:p>
        </w:tc>
        <w:tc>
          <w:tcPr>
            <w:tcW w:w="13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812"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w:t>
            </w:r>
          </w:p>
        </w:tc>
        <w:tc>
          <w:tcPr>
            <w:tcW w:w="30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奖金</w:t>
            </w:r>
          </w:p>
        </w:tc>
        <w:tc>
          <w:tcPr>
            <w:tcW w:w="14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16,144,166.79</w:t>
            </w:r>
          </w:p>
        </w:tc>
        <w:tc>
          <w:tcPr>
            <w:tcW w:w="8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30203</w:t>
            </w:r>
          </w:p>
        </w:tc>
        <w:tc>
          <w:tcPr>
            <w:tcW w:w="20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咨询费</w:t>
            </w:r>
          </w:p>
        </w:tc>
        <w:tc>
          <w:tcPr>
            <w:tcW w:w="13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119,117.17</w:t>
            </w:r>
          </w:p>
        </w:tc>
        <w:tc>
          <w:tcPr>
            <w:tcW w:w="8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38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资本性支出</w:t>
            </w:r>
          </w:p>
        </w:tc>
        <w:tc>
          <w:tcPr>
            <w:tcW w:w="13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3,051,449.91</w:t>
            </w:r>
          </w:p>
        </w:tc>
      </w:tr>
      <w:tr>
        <w:tblPrEx>
          <w:tblLayout w:type="fixed"/>
          <w:tblCellMar>
            <w:top w:w="0" w:type="dxa"/>
            <w:left w:w="0" w:type="dxa"/>
            <w:bottom w:w="0" w:type="dxa"/>
            <w:right w:w="0" w:type="dxa"/>
          </w:tblCellMar>
        </w:tblPrEx>
        <w:trPr>
          <w:trHeight w:val="300" w:hRule="atLeast"/>
        </w:trPr>
        <w:tc>
          <w:tcPr>
            <w:tcW w:w="812"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30106</w:t>
            </w:r>
          </w:p>
        </w:tc>
        <w:tc>
          <w:tcPr>
            <w:tcW w:w="30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伙食补助费</w:t>
            </w:r>
          </w:p>
        </w:tc>
        <w:tc>
          <w:tcPr>
            <w:tcW w:w="14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2,007,833.00</w:t>
            </w:r>
          </w:p>
        </w:tc>
        <w:tc>
          <w:tcPr>
            <w:tcW w:w="8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30204</w:t>
            </w:r>
          </w:p>
        </w:tc>
        <w:tc>
          <w:tcPr>
            <w:tcW w:w="20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手续费</w:t>
            </w:r>
          </w:p>
        </w:tc>
        <w:tc>
          <w:tcPr>
            <w:tcW w:w="13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31001</w:t>
            </w:r>
          </w:p>
        </w:tc>
        <w:tc>
          <w:tcPr>
            <w:tcW w:w="38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13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812"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w:t>
            </w:r>
          </w:p>
        </w:tc>
        <w:tc>
          <w:tcPr>
            <w:tcW w:w="30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绩效工资</w:t>
            </w:r>
          </w:p>
        </w:tc>
        <w:tc>
          <w:tcPr>
            <w:tcW w:w="14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22,848,813.68</w:t>
            </w:r>
          </w:p>
        </w:tc>
        <w:tc>
          <w:tcPr>
            <w:tcW w:w="8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30205</w:t>
            </w:r>
          </w:p>
        </w:tc>
        <w:tc>
          <w:tcPr>
            <w:tcW w:w="20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水费</w:t>
            </w:r>
          </w:p>
        </w:tc>
        <w:tc>
          <w:tcPr>
            <w:tcW w:w="13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916,674.30</w:t>
            </w:r>
          </w:p>
        </w:tc>
        <w:tc>
          <w:tcPr>
            <w:tcW w:w="8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31002</w:t>
            </w:r>
          </w:p>
        </w:tc>
        <w:tc>
          <w:tcPr>
            <w:tcW w:w="38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办公设备购置</w:t>
            </w:r>
          </w:p>
        </w:tc>
        <w:tc>
          <w:tcPr>
            <w:tcW w:w="13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134,360.00</w:t>
            </w:r>
          </w:p>
        </w:tc>
      </w:tr>
      <w:tr>
        <w:tblPrEx>
          <w:tblLayout w:type="fixed"/>
          <w:tblCellMar>
            <w:top w:w="0" w:type="dxa"/>
            <w:left w:w="0" w:type="dxa"/>
            <w:bottom w:w="0" w:type="dxa"/>
            <w:right w:w="0" w:type="dxa"/>
          </w:tblCellMar>
        </w:tblPrEx>
        <w:trPr>
          <w:trHeight w:val="300" w:hRule="atLeast"/>
        </w:trPr>
        <w:tc>
          <w:tcPr>
            <w:tcW w:w="812"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30108</w:t>
            </w:r>
          </w:p>
        </w:tc>
        <w:tc>
          <w:tcPr>
            <w:tcW w:w="30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w:t>
            </w:r>
          </w:p>
        </w:tc>
        <w:tc>
          <w:tcPr>
            <w:tcW w:w="14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17,411,889.75</w:t>
            </w:r>
          </w:p>
        </w:tc>
        <w:tc>
          <w:tcPr>
            <w:tcW w:w="8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30206</w:t>
            </w:r>
          </w:p>
        </w:tc>
        <w:tc>
          <w:tcPr>
            <w:tcW w:w="20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电费</w:t>
            </w:r>
          </w:p>
        </w:tc>
        <w:tc>
          <w:tcPr>
            <w:tcW w:w="13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2,504,768.03</w:t>
            </w:r>
          </w:p>
        </w:tc>
        <w:tc>
          <w:tcPr>
            <w:tcW w:w="8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31003</w:t>
            </w:r>
          </w:p>
        </w:tc>
        <w:tc>
          <w:tcPr>
            <w:tcW w:w="38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专用设备购置</w:t>
            </w:r>
          </w:p>
        </w:tc>
        <w:tc>
          <w:tcPr>
            <w:tcW w:w="13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113,500.00</w:t>
            </w:r>
          </w:p>
        </w:tc>
      </w:tr>
      <w:tr>
        <w:tblPrEx>
          <w:tblLayout w:type="fixed"/>
          <w:tblCellMar>
            <w:top w:w="0" w:type="dxa"/>
            <w:left w:w="0" w:type="dxa"/>
            <w:bottom w:w="0" w:type="dxa"/>
            <w:right w:w="0" w:type="dxa"/>
          </w:tblCellMar>
        </w:tblPrEx>
        <w:trPr>
          <w:trHeight w:val="300" w:hRule="atLeast"/>
        </w:trPr>
        <w:tc>
          <w:tcPr>
            <w:tcW w:w="812"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30109</w:t>
            </w:r>
          </w:p>
        </w:tc>
        <w:tc>
          <w:tcPr>
            <w:tcW w:w="30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职业年金缴费</w:t>
            </w:r>
          </w:p>
        </w:tc>
        <w:tc>
          <w:tcPr>
            <w:tcW w:w="14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816,218.10</w:t>
            </w:r>
          </w:p>
        </w:tc>
        <w:tc>
          <w:tcPr>
            <w:tcW w:w="8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30207</w:t>
            </w:r>
          </w:p>
        </w:tc>
        <w:tc>
          <w:tcPr>
            <w:tcW w:w="20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邮电费</w:t>
            </w:r>
          </w:p>
        </w:tc>
        <w:tc>
          <w:tcPr>
            <w:tcW w:w="13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384,642.23</w:t>
            </w:r>
          </w:p>
        </w:tc>
        <w:tc>
          <w:tcPr>
            <w:tcW w:w="8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31005</w:t>
            </w:r>
          </w:p>
        </w:tc>
        <w:tc>
          <w:tcPr>
            <w:tcW w:w="38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基础设施建设</w:t>
            </w:r>
          </w:p>
        </w:tc>
        <w:tc>
          <w:tcPr>
            <w:tcW w:w="13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812"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30110</w:t>
            </w:r>
          </w:p>
        </w:tc>
        <w:tc>
          <w:tcPr>
            <w:tcW w:w="30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职工基本医疗保险缴费</w:t>
            </w:r>
          </w:p>
        </w:tc>
        <w:tc>
          <w:tcPr>
            <w:tcW w:w="14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9,488,810.35</w:t>
            </w:r>
          </w:p>
        </w:tc>
        <w:tc>
          <w:tcPr>
            <w:tcW w:w="8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30208</w:t>
            </w:r>
          </w:p>
        </w:tc>
        <w:tc>
          <w:tcPr>
            <w:tcW w:w="20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取暖费</w:t>
            </w:r>
          </w:p>
        </w:tc>
        <w:tc>
          <w:tcPr>
            <w:tcW w:w="13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1,266,000.00</w:t>
            </w:r>
          </w:p>
        </w:tc>
        <w:tc>
          <w:tcPr>
            <w:tcW w:w="8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31006</w:t>
            </w:r>
          </w:p>
        </w:tc>
        <w:tc>
          <w:tcPr>
            <w:tcW w:w="38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大型修缮</w:t>
            </w:r>
          </w:p>
        </w:tc>
        <w:tc>
          <w:tcPr>
            <w:tcW w:w="13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812"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30111</w:t>
            </w:r>
          </w:p>
        </w:tc>
        <w:tc>
          <w:tcPr>
            <w:tcW w:w="30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公务员医疗补助缴费</w:t>
            </w:r>
          </w:p>
        </w:tc>
        <w:tc>
          <w:tcPr>
            <w:tcW w:w="14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130,000.00</w:t>
            </w:r>
          </w:p>
        </w:tc>
        <w:tc>
          <w:tcPr>
            <w:tcW w:w="8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30209</w:t>
            </w:r>
          </w:p>
        </w:tc>
        <w:tc>
          <w:tcPr>
            <w:tcW w:w="20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物业管理费</w:t>
            </w:r>
          </w:p>
        </w:tc>
        <w:tc>
          <w:tcPr>
            <w:tcW w:w="13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4,766,962.28</w:t>
            </w:r>
          </w:p>
        </w:tc>
        <w:tc>
          <w:tcPr>
            <w:tcW w:w="8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31007</w:t>
            </w:r>
          </w:p>
        </w:tc>
        <w:tc>
          <w:tcPr>
            <w:tcW w:w="38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信息网络及软件购置更新</w:t>
            </w:r>
          </w:p>
        </w:tc>
        <w:tc>
          <w:tcPr>
            <w:tcW w:w="13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2,490,661.00</w:t>
            </w:r>
          </w:p>
        </w:tc>
      </w:tr>
      <w:tr>
        <w:tblPrEx>
          <w:tblLayout w:type="fixed"/>
          <w:tblCellMar>
            <w:top w:w="0" w:type="dxa"/>
            <w:left w:w="0" w:type="dxa"/>
            <w:bottom w:w="0" w:type="dxa"/>
            <w:right w:w="0" w:type="dxa"/>
          </w:tblCellMar>
        </w:tblPrEx>
        <w:trPr>
          <w:trHeight w:val="300" w:hRule="atLeast"/>
        </w:trPr>
        <w:tc>
          <w:tcPr>
            <w:tcW w:w="812"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30112</w:t>
            </w:r>
          </w:p>
        </w:tc>
        <w:tc>
          <w:tcPr>
            <w:tcW w:w="30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其他社会保障缴费</w:t>
            </w:r>
          </w:p>
        </w:tc>
        <w:tc>
          <w:tcPr>
            <w:tcW w:w="14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2,191,693.87</w:t>
            </w:r>
          </w:p>
        </w:tc>
        <w:tc>
          <w:tcPr>
            <w:tcW w:w="8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30211</w:t>
            </w:r>
          </w:p>
        </w:tc>
        <w:tc>
          <w:tcPr>
            <w:tcW w:w="20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差旅费</w:t>
            </w:r>
          </w:p>
        </w:tc>
        <w:tc>
          <w:tcPr>
            <w:tcW w:w="13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2,555,505.74</w:t>
            </w:r>
          </w:p>
        </w:tc>
        <w:tc>
          <w:tcPr>
            <w:tcW w:w="8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31008</w:t>
            </w:r>
          </w:p>
        </w:tc>
        <w:tc>
          <w:tcPr>
            <w:tcW w:w="38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物资储备</w:t>
            </w:r>
          </w:p>
        </w:tc>
        <w:tc>
          <w:tcPr>
            <w:tcW w:w="13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812"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w:t>
            </w:r>
          </w:p>
        </w:tc>
        <w:tc>
          <w:tcPr>
            <w:tcW w:w="30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14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18,601,309.30</w:t>
            </w:r>
          </w:p>
        </w:tc>
        <w:tc>
          <w:tcPr>
            <w:tcW w:w="8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30212</w:t>
            </w:r>
          </w:p>
        </w:tc>
        <w:tc>
          <w:tcPr>
            <w:tcW w:w="20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因公出国（境）费用</w:t>
            </w:r>
          </w:p>
        </w:tc>
        <w:tc>
          <w:tcPr>
            <w:tcW w:w="13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66,890.00</w:t>
            </w:r>
          </w:p>
        </w:tc>
        <w:tc>
          <w:tcPr>
            <w:tcW w:w="8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31009</w:t>
            </w:r>
          </w:p>
        </w:tc>
        <w:tc>
          <w:tcPr>
            <w:tcW w:w="38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土地补偿</w:t>
            </w:r>
          </w:p>
        </w:tc>
        <w:tc>
          <w:tcPr>
            <w:tcW w:w="13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812"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30114</w:t>
            </w:r>
          </w:p>
        </w:tc>
        <w:tc>
          <w:tcPr>
            <w:tcW w:w="30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w:t>
            </w:r>
          </w:p>
        </w:tc>
        <w:tc>
          <w:tcPr>
            <w:tcW w:w="14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858,167.84</w:t>
            </w:r>
          </w:p>
        </w:tc>
        <w:tc>
          <w:tcPr>
            <w:tcW w:w="8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30213</w:t>
            </w:r>
          </w:p>
        </w:tc>
        <w:tc>
          <w:tcPr>
            <w:tcW w:w="20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维修（护）费</w:t>
            </w:r>
          </w:p>
        </w:tc>
        <w:tc>
          <w:tcPr>
            <w:tcW w:w="13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1,978,164.04</w:t>
            </w:r>
          </w:p>
        </w:tc>
        <w:tc>
          <w:tcPr>
            <w:tcW w:w="8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w:t>
            </w:r>
          </w:p>
        </w:tc>
        <w:tc>
          <w:tcPr>
            <w:tcW w:w="38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安置补助</w:t>
            </w:r>
          </w:p>
        </w:tc>
        <w:tc>
          <w:tcPr>
            <w:tcW w:w="13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812"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30199</w:t>
            </w:r>
          </w:p>
        </w:tc>
        <w:tc>
          <w:tcPr>
            <w:tcW w:w="30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其他工资福利支出</w:t>
            </w:r>
          </w:p>
        </w:tc>
        <w:tc>
          <w:tcPr>
            <w:tcW w:w="14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3,729,602.10</w:t>
            </w:r>
          </w:p>
        </w:tc>
        <w:tc>
          <w:tcPr>
            <w:tcW w:w="8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30214</w:t>
            </w:r>
          </w:p>
        </w:tc>
        <w:tc>
          <w:tcPr>
            <w:tcW w:w="20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租赁费</w:t>
            </w:r>
          </w:p>
        </w:tc>
        <w:tc>
          <w:tcPr>
            <w:tcW w:w="13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137,190.50</w:t>
            </w:r>
          </w:p>
        </w:tc>
        <w:tc>
          <w:tcPr>
            <w:tcW w:w="8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31011</w:t>
            </w:r>
          </w:p>
        </w:tc>
        <w:tc>
          <w:tcPr>
            <w:tcW w:w="38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地上附着物和青苗补偿</w:t>
            </w:r>
          </w:p>
        </w:tc>
        <w:tc>
          <w:tcPr>
            <w:tcW w:w="13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812"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30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14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6,086,077.01</w:t>
            </w:r>
          </w:p>
        </w:tc>
        <w:tc>
          <w:tcPr>
            <w:tcW w:w="8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30215</w:t>
            </w:r>
          </w:p>
        </w:tc>
        <w:tc>
          <w:tcPr>
            <w:tcW w:w="20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会议费</w:t>
            </w:r>
          </w:p>
        </w:tc>
        <w:tc>
          <w:tcPr>
            <w:tcW w:w="13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752,558.40</w:t>
            </w:r>
          </w:p>
        </w:tc>
        <w:tc>
          <w:tcPr>
            <w:tcW w:w="8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31012</w:t>
            </w:r>
          </w:p>
        </w:tc>
        <w:tc>
          <w:tcPr>
            <w:tcW w:w="38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拆迁补偿</w:t>
            </w:r>
          </w:p>
        </w:tc>
        <w:tc>
          <w:tcPr>
            <w:tcW w:w="13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812"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30301</w:t>
            </w:r>
          </w:p>
        </w:tc>
        <w:tc>
          <w:tcPr>
            <w:tcW w:w="30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离休费</w:t>
            </w:r>
          </w:p>
        </w:tc>
        <w:tc>
          <w:tcPr>
            <w:tcW w:w="14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634,391.63</w:t>
            </w:r>
          </w:p>
        </w:tc>
        <w:tc>
          <w:tcPr>
            <w:tcW w:w="8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30216</w:t>
            </w:r>
          </w:p>
        </w:tc>
        <w:tc>
          <w:tcPr>
            <w:tcW w:w="20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培训费</w:t>
            </w:r>
          </w:p>
        </w:tc>
        <w:tc>
          <w:tcPr>
            <w:tcW w:w="13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837,012.09</w:t>
            </w:r>
          </w:p>
        </w:tc>
        <w:tc>
          <w:tcPr>
            <w:tcW w:w="8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31013</w:t>
            </w:r>
          </w:p>
        </w:tc>
        <w:tc>
          <w:tcPr>
            <w:tcW w:w="38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公务用车购置</w:t>
            </w:r>
          </w:p>
        </w:tc>
        <w:tc>
          <w:tcPr>
            <w:tcW w:w="13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812"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30302</w:t>
            </w:r>
          </w:p>
        </w:tc>
        <w:tc>
          <w:tcPr>
            <w:tcW w:w="30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退休费</w:t>
            </w:r>
          </w:p>
        </w:tc>
        <w:tc>
          <w:tcPr>
            <w:tcW w:w="14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284,400.00</w:t>
            </w:r>
          </w:p>
        </w:tc>
        <w:tc>
          <w:tcPr>
            <w:tcW w:w="8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30217</w:t>
            </w:r>
          </w:p>
        </w:tc>
        <w:tc>
          <w:tcPr>
            <w:tcW w:w="20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公务接待费</w:t>
            </w:r>
          </w:p>
        </w:tc>
        <w:tc>
          <w:tcPr>
            <w:tcW w:w="13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499,031.57</w:t>
            </w:r>
          </w:p>
        </w:tc>
        <w:tc>
          <w:tcPr>
            <w:tcW w:w="8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31019</w:t>
            </w:r>
          </w:p>
        </w:tc>
        <w:tc>
          <w:tcPr>
            <w:tcW w:w="38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其他交通工具购置</w:t>
            </w:r>
          </w:p>
        </w:tc>
        <w:tc>
          <w:tcPr>
            <w:tcW w:w="13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812"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30303</w:t>
            </w:r>
          </w:p>
        </w:tc>
        <w:tc>
          <w:tcPr>
            <w:tcW w:w="30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退职（役）费</w:t>
            </w:r>
          </w:p>
        </w:tc>
        <w:tc>
          <w:tcPr>
            <w:tcW w:w="14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30218</w:t>
            </w:r>
          </w:p>
        </w:tc>
        <w:tc>
          <w:tcPr>
            <w:tcW w:w="20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专用材料费</w:t>
            </w:r>
          </w:p>
        </w:tc>
        <w:tc>
          <w:tcPr>
            <w:tcW w:w="13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631,003.64</w:t>
            </w:r>
          </w:p>
        </w:tc>
        <w:tc>
          <w:tcPr>
            <w:tcW w:w="8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31021</w:t>
            </w:r>
          </w:p>
        </w:tc>
        <w:tc>
          <w:tcPr>
            <w:tcW w:w="38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文物和陈列品购置</w:t>
            </w:r>
          </w:p>
        </w:tc>
        <w:tc>
          <w:tcPr>
            <w:tcW w:w="13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812"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30304</w:t>
            </w:r>
          </w:p>
        </w:tc>
        <w:tc>
          <w:tcPr>
            <w:tcW w:w="30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抚恤金</w:t>
            </w:r>
          </w:p>
        </w:tc>
        <w:tc>
          <w:tcPr>
            <w:tcW w:w="14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117,694.12</w:t>
            </w:r>
          </w:p>
        </w:tc>
        <w:tc>
          <w:tcPr>
            <w:tcW w:w="8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30224</w:t>
            </w:r>
          </w:p>
        </w:tc>
        <w:tc>
          <w:tcPr>
            <w:tcW w:w="20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被装购置费</w:t>
            </w:r>
          </w:p>
        </w:tc>
        <w:tc>
          <w:tcPr>
            <w:tcW w:w="13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31022</w:t>
            </w:r>
          </w:p>
        </w:tc>
        <w:tc>
          <w:tcPr>
            <w:tcW w:w="38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无形资产购置</w:t>
            </w:r>
          </w:p>
        </w:tc>
        <w:tc>
          <w:tcPr>
            <w:tcW w:w="13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211,875.00</w:t>
            </w:r>
          </w:p>
        </w:tc>
      </w:tr>
      <w:tr>
        <w:tblPrEx>
          <w:tblLayout w:type="fixed"/>
          <w:tblCellMar>
            <w:top w:w="0" w:type="dxa"/>
            <w:left w:w="0" w:type="dxa"/>
            <w:bottom w:w="0" w:type="dxa"/>
            <w:right w:w="0" w:type="dxa"/>
          </w:tblCellMar>
        </w:tblPrEx>
        <w:trPr>
          <w:trHeight w:val="300" w:hRule="atLeast"/>
        </w:trPr>
        <w:tc>
          <w:tcPr>
            <w:tcW w:w="812"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30305</w:t>
            </w:r>
          </w:p>
        </w:tc>
        <w:tc>
          <w:tcPr>
            <w:tcW w:w="30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生活补助</w:t>
            </w:r>
          </w:p>
        </w:tc>
        <w:tc>
          <w:tcPr>
            <w:tcW w:w="14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1,168,160.97</w:t>
            </w:r>
          </w:p>
        </w:tc>
        <w:tc>
          <w:tcPr>
            <w:tcW w:w="8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30225</w:t>
            </w:r>
          </w:p>
        </w:tc>
        <w:tc>
          <w:tcPr>
            <w:tcW w:w="20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专用燃料费</w:t>
            </w:r>
          </w:p>
        </w:tc>
        <w:tc>
          <w:tcPr>
            <w:tcW w:w="13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31099</w:t>
            </w:r>
          </w:p>
        </w:tc>
        <w:tc>
          <w:tcPr>
            <w:tcW w:w="38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13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101,053.91</w:t>
            </w:r>
          </w:p>
        </w:tc>
      </w:tr>
      <w:tr>
        <w:tblPrEx>
          <w:tblLayout w:type="fixed"/>
          <w:tblCellMar>
            <w:top w:w="0" w:type="dxa"/>
            <w:left w:w="0" w:type="dxa"/>
            <w:bottom w:w="0" w:type="dxa"/>
            <w:right w:w="0" w:type="dxa"/>
          </w:tblCellMar>
        </w:tblPrEx>
        <w:trPr>
          <w:trHeight w:val="300" w:hRule="atLeast"/>
        </w:trPr>
        <w:tc>
          <w:tcPr>
            <w:tcW w:w="812"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30306</w:t>
            </w:r>
          </w:p>
        </w:tc>
        <w:tc>
          <w:tcPr>
            <w:tcW w:w="30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救济费</w:t>
            </w:r>
          </w:p>
        </w:tc>
        <w:tc>
          <w:tcPr>
            <w:tcW w:w="14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12,152.00</w:t>
            </w:r>
          </w:p>
        </w:tc>
        <w:tc>
          <w:tcPr>
            <w:tcW w:w="8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30226</w:t>
            </w:r>
          </w:p>
        </w:tc>
        <w:tc>
          <w:tcPr>
            <w:tcW w:w="20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劳务费</w:t>
            </w:r>
          </w:p>
        </w:tc>
        <w:tc>
          <w:tcPr>
            <w:tcW w:w="13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1,040,455.33</w:t>
            </w:r>
          </w:p>
        </w:tc>
        <w:tc>
          <w:tcPr>
            <w:tcW w:w="8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38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13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812"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30307</w:t>
            </w:r>
          </w:p>
        </w:tc>
        <w:tc>
          <w:tcPr>
            <w:tcW w:w="30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医疗费补助</w:t>
            </w:r>
          </w:p>
        </w:tc>
        <w:tc>
          <w:tcPr>
            <w:tcW w:w="14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1,311,721.89</w:t>
            </w:r>
          </w:p>
        </w:tc>
        <w:tc>
          <w:tcPr>
            <w:tcW w:w="8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30227</w:t>
            </w:r>
          </w:p>
        </w:tc>
        <w:tc>
          <w:tcPr>
            <w:tcW w:w="20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委托业务费</w:t>
            </w:r>
          </w:p>
        </w:tc>
        <w:tc>
          <w:tcPr>
            <w:tcW w:w="13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239,874.50</w:t>
            </w:r>
          </w:p>
        </w:tc>
        <w:tc>
          <w:tcPr>
            <w:tcW w:w="8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39906</w:t>
            </w:r>
          </w:p>
        </w:tc>
        <w:tc>
          <w:tcPr>
            <w:tcW w:w="38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赠与</w:t>
            </w:r>
          </w:p>
        </w:tc>
        <w:tc>
          <w:tcPr>
            <w:tcW w:w="13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812"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30308</w:t>
            </w:r>
          </w:p>
        </w:tc>
        <w:tc>
          <w:tcPr>
            <w:tcW w:w="30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助学金</w:t>
            </w:r>
          </w:p>
        </w:tc>
        <w:tc>
          <w:tcPr>
            <w:tcW w:w="14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133,515.00</w:t>
            </w:r>
          </w:p>
        </w:tc>
        <w:tc>
          <w:tcPr>
            <w:tcW w:w="8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30228</w:t>
            </w:r>
          </w:p>
        </w:tc>
        <w:tc>
          <w:tcPr>
            <w:tcW w:w="20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工会经费</w:t>
            </w:r>
          </w:p>
        </w:tc>
        <w:tc>
          <w:tcPr>
            <w:tcW w:w="13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1,350,838.38</w:t>
            </w:r>
          </w:p>
        </w:tc>
        <w:tc>
          <w:tcPr>
            <w:tcW w:w="8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39907</w:t>
            </w:r>
          </w:p>
        </w:tc>
        <w:tc>
          <w:tcPr>
            <w:tcW w:w="38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国家赔偿费用支出</w:t>
            </w:r>
          </w:p>
        </w:tc>
        <w:tc>
          <w:tcPr>
            <w:tcW w:w="13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812"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30309</w:t>
            </w:r>
          </w:p>
        </w:tc>
        <w:tc>
          <w:tcPr>
            <w:tcW w:w="30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奖励金</w:t>
            </w:r>
          </w:p>
        </w:tc>
        <w:tc>
          <w:tcPr>
            <w:tcW w:w="14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1,438,456.80</w:t>
            </w:r>
          </w:p>
        </w:tc>
        <w:tc>
          <w:tcPr>
            <w:tcW w:w="8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30229</w:t>
            </w:r>
          </w:p>
        </w:tc>
        <w:tc>
          <w:tcPr>
            <w:tcW w:w="20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福利费</w:t>
            </w:r>
          </w:p>
        </w:tc>
        <w:tc>
          <w:tcPr>
            <w:tcW w:w="13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891,761.16</w:t>
            </w:r>
          </w:p>
        </w:tc>
        <w:tc>
          <w:tcPr>
            <w:tcW w:w="8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39908</w:t>
            </w:r>
          </w:p>
        </w:tc>
        <w:tc>
          <w:tcPr>
            <w:tcW w:w="38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对民间非营利组织和群众性自治组织补贴</w:t>
            </w:r>
          </w:p>
        </w:tc>
        <w:tc>
          <w:tcPr>
            <w:tcW w:w="13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812"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30310</w:t>
            </w:r>
          </w:p>
        </w:tc>
        <w:tc>
          <w:tcPr>
            <w:tcW w:w="30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个人农业生产补贴</w:t>
            </w:r>
          </w:p>
        </w:tc>
        <w:tc>
          <w:tcPr>
            <w:tcW w:w="14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30231</w:t>
            </w:r>
          </w:p>
        </w:tc>
        <w:tc>
          <w:tcPr>
            <w:tcW w:w="20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13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1,517,575.64</w:t>
            </w:r>
          </w:p>
        </w:tc>
        <w:tc>
          <w:tcPr>
            <w:tcW w:w="8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39999</w:t>
            </w:r>
          </w:p>
        </w:tc>
        <w:tc>
          <w:tcPr>
            <w:tcW w:w="38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其他支出</w:t>
            </w:r>
          </w:p>
        </w:tc>
        <w:tc>
          <w:tcPr>
            <w:tcW w:w="13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812"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30399</w:t>
            </w:r>
          </w:p>
        </w:tc>
        <w:tc>
          <w:tcPr>
            <w:tcW w:w="30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其他对个人和家庭的补助</w:t>
            </w:r>
          </w:p>
        </w:tc>
        <w:tc>
          <w:tcPr>
            <w:tcW w:w="14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985,584.60</w:t>
            </w:r>
          </w:p>
        </w:tc>
        <w:tc>
          <w:tcPr>
            <w:tcW w:w="8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30239</w:t>
            </w:r>
          </w:p>
        </w:tc>
        <w:tc>
          <w:tcPr>
            <w:tcW w:w="20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其他交通费用</w:t>
            </w:r>
          </w:p>
        </w:tc>
        <w:tc>
          <w:tcPr>
            <w:tcW w:w="13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2,085,353.71</w:t>
            </w:r>
          </w:p>
        </w:tc>
        <w:tc>
          <w:tcPr>
            <w:tcW w:w="8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8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812"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0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30240</w:t>
            </w:r>
          </w:p>
        </w:tc>
        <w:tc>
          <w:tcPr>
            <w:tcW w:w="20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税金及附加费用</w:t>
            </w:r>
          </w:p>
        </w:tc>
        <w:tc>
          <w:tcPr>
            <w:tcW w:w="13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8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812"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0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30299</w:t>
            </w:r>
          </w:p>
        </w:tc>
        <w:tc>
          <w:tcPr>
            <w:tcW w:w="20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13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17,627,299.90</w:t>
            </w:r>
          </w:p>
        </w:tc>
        <w:tc>
          <w:tcPr>
            <w:tcW w:w="8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83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3844" w:type="dxa"/>
            <w:gridSpan w:val="2"/>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人员经费合计</w:t>
            </w:r>
          </w:p>
        </w:tc>
        <w:tc>
          <w:tcPr>
            <w:tcW w:w="14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147,066,474.27</w:t>
            </w:r>
          </w:p>
        </w:tc>
        <w:tc>
          <w:tcPr>
            <w:tcW w:w="8820" w:type="dxa"/>
            <w:gridSpan w:val="5"/>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公用经费合计</w:t>
            </w:r>
          </w:p>
        </w:tc>
        <w:tc>
          <w:tcPr>
            <w:tcW w:w="13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47,555,543.97</w:t>
            </w:r>
          </w:p>
        </w:tc>
      </w:tr>
    </w:tbl>
    <w:p>
      <w:pPr>
        <w:widowControl/>
        <w:jc w:val="right"/>
        <w:rPr>
          <w:rFonts w:ascii="Times New Roman" w:hAnsi="Times New Roman" w:eastAsia="仿宋_GB2312" w:cs="Times New Roman"/>
          <w:color w:val="000000"/>
          <w:kern w:val="0"/>
          <w:szCs w:val="21"/>
        </w:rPr>
      </w:pPr>
    </w:p>
    <w:p>
      <w:pPr>
        <w:widowControl/>
        <w:jc w:val="left"/>
        <w:rPr>
          <w:rFonts w:ascii="黑体" w:hAnsi="黑体" w:eastAsia="黑体"/>
          <w:szCs w:val="21"/>
        </w:rPr>
      </w:pPr>
      <w:r>
        <w:rPr>
          <w:rFonts w:hint="eastAsia" w:ascii="黑体" w:hAnsi="黑体" w:eastAsia="黑体"/>
          <w:szCs w:val="21"/>
        </w:rPr>
        <w:t>注：本表反映部门年度一般公共预算财政拨款基本支出明细情况。</w:t>
      </w:r>
      <w:r>
        <w:rPr>
          <w:rFonts w:ascii="黑体" w:hAnsi="黑体" w:eastAsia="黑体"/>
          <w:szCs w:val="21"/>
        </w:rPr>
        <w:br w:type="page"/>
      </w:r>
    </w:p>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湖南省生态环境厅</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单位：元</w:t>
      </w:r>
    </w:p>
    <w:tbl>
      <w:tblPr>
        <w:tblStyle w:val="8"/>
        <w:tblW w:w="15612" w:type="dxa"/>
        <w:jc w:val="center"/>
        <w:tblInd w:w="1" w:type="dxa"/>
        <w:tblLayout w:type="fixed"/>
        <w:tblCellMar>
          <w:top w:w="0" w:type="dxa"/>
          <w:left w:w="108" w:type="dxa"/>
          <w:bottom w:w="0" w:type="dxa"/>
          <w:right w:w="108" w:type="dxa"/>
        </w:tblCellMar>
      </w:tblPr>
      <w:tblGrid>
        <w:gridCol w:w="1538"/>
        <w:gridCol w:w="1327"/>
        <w:gridCol w:w="1538"/>
        <w:gridCol w:w="437"/>
        <w:gridCol w:w="1538"/>
        <w:gridCol w:w="1538"/>
        <w:gridCol w:w="1538"/>
        <w:gridCol w:w="1327"/>
        <w:gridCol w:w="1538"/>
        <w:gridCol w:w="437"/>
        <w:gridCol w:w="1538"/>
        <w:gridCol w:w="1318"/>
      </w:tblGrid>
      <w:tr>
        <w:tblPrEx>
          <w:tblLayout w:type="fixed"/>
          <w:tblCellMar>
            <w:top w:w="0" w:type="dxa"/>
            <w:left w:w="108" w:type="dxa"/>
            <w:bottom w:w="0" w:type="dxa"/>
            <w:right w:w="108" w:type="dxa"/>
          </w:tblCellMar>
        </w:tblPrEx>
        <w:trPr>
          <w:trHeight w:val="397" w:hRule="atLeast"/>
          <w:jc w:val="center"/>
        </w:trPr>
        <w:tc>
          <w:tcPr>
            <w:tcW w:w="7916"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696"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Layout w:type="fixed"/>
          <w:tblCellMar>
            <w:top w:w="0" w:type="dxa"/>
            <w:left w:w="108" w:type="dxa"/>
            <w:bottom w:w="0" w:type="dxa"/>
            <w:right w:w="108" w:type="dxa"/>
          </w:tblCellMar>
        </w:tblPrEx>
        <w:trPr>
          <w:trHeight w:val="397" w:hRule="atLeast"/>
          <w:jc w:val="center"/>
        </w:trPr>
        <w:tc>
          <w:tcPr>
            <w:tcW w:w="1538"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3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513"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53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538"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3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513"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318"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Layout w:type="fixed"/>
          <w:tblCellMar>
            <w:top w:w="0" w:type="dxa"/>
            <w:left w:w="108" w:type="dxa"/>
            <w:bottom w:w="0" w:type="dxa"/>
            <w:right w:w="108" w:type="dxa"/>
          </w:tblCellMar>
        </w:tblPrEx>
        <w:trPr>
          <w:trHeight w:val="397" w:hRule="atLeast"/>
          <w:jc w:val="center"/>
        </w:trPr>
        <w:tc>
          <w:tcPr>
            <w:tcW w:w="1538"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32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53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43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53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53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538"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32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53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43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53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318"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Layout w:type="fixed"/>
          <w:tblCellMar>
            <w:top w:w="0" w:type="dxa"/>
            <w:left w:w="108" w:type="dxa"/>
            <w:bottom w:w="0" w:type="dxa"/>
            <w:right w:w="108" w:type="dxa"/>
          </w:tblCellMar>
        </w:tblPrEx>
        <w:trPr>
          <w:trHeight w:val="397" w:hRule="atLeast"/>
          <w:jc w:val="center"/>
        </w:trPr>
        <w:tc>
          <w:tcPr>
            <w:tcW w:w="1538"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32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53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43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53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53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53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32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53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43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53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318"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Layout w:type="fixed"/>
          <w:tblCellMar>
            <w:top w:w="0" w:type="dxa"/>
            <w:left w:w="108" w:type="dxa"/>
            <w:bottom w:w="0" w:type="dxa"/>
            <w:right w:w="108" w:type="dxa"/>
          </w:tblCellMar>
        </w:tblPrEx>
        <w:trPr>
          <w:trHeight w:val="397" w:hRule="atLeast"/>
          <w:jc w:val="center"/>
        </w:trPr>
        <w:tc>
          <w:tcPr>
            <w:tcW w:w="1538"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3,798,000.00</w:t>
            </w:r>
          </w:p>
        </w:tc>
        <w:tc>
          <w:tcPr>
            <w:tcW w:w="13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600,000.00</w:t>
            </w:r>
          </w:p>
        </w:tc>
        <w:tc>
          <w:tcPr>
            <w:tcW w:w="1538"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1,733,000.00</w:t>
            </w:r>
          </w:p>
        </w:tc>
        <w:tc>
          <w:tcPr>
            <w:tcW w:w="437"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38"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1,733,000.00</w:t>
            </w:r>
          </w:p>
        </w:tc>
        <w:tc>
          <w:tcPr>
            <w:tcW w:w="1538"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1,465,000.00</w:t>
            </w:r>
          </w:p>
        </w:tc>
        <w:tc>
          <w:tcPr>
            <w:tcW w:w="1538"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2,724,635.32</w:t>
            </w:r>
          </w:p>
        </w:tc>
        <w:tc>
          <w:tcPr>
            <w:tcW w:w="13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590,995.00</w:t>
            </w:r>
          </w:p>
        </w:tc>
        <w:tc>
          <w:tcPr>
            <w:tcW w:w="1538"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1,496,864.75</w:t>
            </w:r>
          </w:p>
        </w:tc>
        <w:tc>
          <w:tcPr>
            <w:tcW w:w="437"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38" w:type="dxa"/>
            <w:tcBorders>
              <w:top w:val="nil"/>
              <w:left w:val="nil"/>
              <w:bottom w:val="single" w:color="auto" w:sz="8" w:space="0"/>
              <w:right w:val="nil"/>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1,496,864.75</w:t>
            </w:r>
          </w:p>
        </w:tc>
        <w:tc>
          <w:tcPr>
            <w:tcW w:w="1318"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636,775.57</w:t>
            </w:r>
          </w:p>
        </w:tc>
      </w:tr>
    </w:tbl>
    <w:p>
      <w:pPr>
        <w:autoSpaceDE w:val="0"/>
        <w:autoSpaceDN w:val="0"/>
        <w:adjustRightInd w:val="0"/>
        <w:ind w:left="315" w:leftChars="150"/>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p>
    <w:p>
      <w:pPr>
        <w:widowControl/>
        <w:jc w:val="left"/>
        <w:rPr>
          <w:rFonts w:ascii="宋体" w:eastAsia="宋体" w:cs="宋体"/>
          <w:kern w:val="0"/>
          <w:sz w:val="24"/>
          <w:szCs w:val="24"/>
        </w:rPr>
      </w:pP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lang w:eastAsia="zh-CN"/>
        </w:rPr>
        <w:t>湖南省生态环境厅</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8"/>
        <w:tblW w:w="14440"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eastAsia="zh-CN"/>
        </w:rPr>
        <w:t>我单位</w:t>
      </w:r>
      <w:r>
        <w:rPr>
          <w:rFonts w:hint="eastAsia" w:ascii="Times New Roman" w:hAnsi="Times New Roman" w:eastAsia="仿宋_GB2312" w:cs="Times New Roman"/>
          <w:kern w:val="0"/>
          <w:szCs w:val="21"/>
        </w:rPr>
        <w:t>没有政府性基金收入，也没有使用政府性基金安排的支出，故本表无数据</w:t>
      </w:r>
    </w:p>
    <w:p>
      <w:pPr>
        <w:widowControl/>
        <w:jc w:val="left"/>
        <w:rPr>
          <w:sz w:val="72"/>
          <w:szCs w:val="72"/>
        </w:rPr>
        <w:sectPr>
          <w:pgSz w:w="16838" w:h="11906" w:orient="landscape"/>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pPr>
      <w:r>
        <w:rPr>
          <w:rFonts w:ascii="黑体" w:hAnsi="黑体" w:eastAsia="黑体"/>
          <w:szCs w:val="21"/>
        </w:rPr>
        <w:br w:type="page"/>
      </w:r>
    </w:p>
    <w:p>
      <w:pPr>
        <w:pStyle w:val="11"/>
        <w:jc w:val="both"/>
        <w:rPr>
          <w:sz w:val="72"/>
          <w:szCs w:val="72"/>
        </w:rPr>
      </w:pPr>
    </w:p>
    <w:p>
      <w:pPr>
        <w:pStyle w:val="11"/>
        <w:jc w:val="center"/>
        <w:rPr>
          <w:sz w:val="72"/>
          <w:szCs w:val="72"/>
        </w:rPr>
      </w:pPr>
    </w:p>
    <w:p>
      <w:pPr>
        <w:pStyle w:val="11"/>
        <w:jc w:val="both"/>
        <w:rPr>
          <w:sz w:val="72"/>
          <w:szCs w:val="72"/>
        </w:rPr>
      </w:pPr>
    </w:p>
    <w:p>
      <w:pPr>
        <w:pStyle w:val="11"/>
        <w:jc w:val="both"/>
        <w:rPr>
          <w:sz w:val="72"/>
          <w:szCs w:val="72"/>
        </w:rPr>
      </w:pPr>
    </w:p>
    <w:p>
      <w:pPr>
        <w:pStyle w:val="11"/>
        <w:jc w:val="both"/>
        <w:rPr>
          <w:sz w:val="72"/>
          <w:szCs w:val="72"/>
        </w:rPr>
      </w:pPr>
    </w:p>
    <w:p>
      <w:pPr>
        <w:pStyle w:val="11"/>
        <w:jc w:val="center"/>
        <w:rPr>
          <w:sz w:val="72"/>
          <w:szCs w:val="72"/>
        </w:rPr>
      </w:pPr>
      <w:r>
        <w:rPr>
          <w:rFonts w:hint="eastAsia"/>
          <w:sz w:val="72"/>
          <w:szCs w:val="72"/>
        </w:rPr>
        <w:t>第三部分</w:t>
      </w:r>
    </w:p>
    <w:p>
      <w:pPr>
        <w:pStyle w:val="11"/>
        <w:jc w:val="center"/>
        <w:rPr>
          <w:sz w:val="70"/>
          <w:szCs w:val="70"/>
        </w:rPr>
      </w:pPr>
    </w:p>
    <w:p>
      <w:pPr>
        <w:pStyle w:val="11"/>
        <w:jc w:val="center"/>
        <w:rPr>
          <w:sz w:val="70"/>
          <w:szCs w:val="70"/>
        </w:rPr>
      </w:pPr>
      <w:r>
        <w:rPr>
          <w:sz w:val="70"/>
          <w:szCs w:val="70"/>
        </w:rPr>
        <w:t>2019</w:t>
      </w:r>
      <w:r>
        <w:rPr>
          <w:rFonts w:hint="eastAsia"/>
          <w:sz w:val="70"/>
          <w:szCs w:val="70"/>
        </w:rPr>
        <w:t>年度部门决算情况说明</w:t>
      </w:r>
    </w:p>
    <w:p>
      <w:pPr>
        <w:widowControl/>
        <w:jc w:val="left"/>
        <w:rPr>
          <w:rFonts w:ascii="黑体" w:eastAsia="黑体" w:cs="黑体"/>
          <w:color w:val="000000"/>
          <w:kern w:val="0"/>
          <w:sz w:val="70"/>
          <w:szCs w:val="70"/>
        </w:rPr>
      </w:pPr>
      <w:r>
        <w:rPr>
          <w:sz w:val="70"/>
          <w:szCs w:val="70"/>
        </w:rPr>
        <w:br w:type="page"/>
      </w:r>
    </w:p>
    <w:p>
      <w:pPr>
        <w:pStyle w:val="11"/>
        <w:rPr>
          <w:rFonts w:asciiTheme="minorEastAsia" w:hAnsiTheme="minorEastAsia" w:eastAsiaTheme="minorEastAsia"/>
          <w:sz w:val="32"/>
          <w:szCs w:val="32"/>
        </w:rPr>
      </w:pPr>
    </w:p>
    <w:p>
      <w:pPr>
        <w:pStyle w:val="11"/>
        <w:rPr>
          <w:rFonts w:hAnsi="黑体"/>
          <w:b/>
          <w:sz w:val="32"/>
          <w:szCs w:val="32"/>
        </w:rPr>
      </w:pPr>
      <w:r>
        <w:rPr>
          <w:rFonts w:hint="eastAsia" w:hAnsi="黑体"/>
          <w:b/>
          <w:sz w:val="32"/>
          <w:szCs w:val="32"/>
        </w:rPr>
        <w:t>一、收入支出决算总体情况说明</w:t>
      </w:r>
    </w:p>
    <w:p>
      <w:pPr>
        <w:pStyle w:val="11"/>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eastAsia="zh-CN"/>
        </w:rPr>
        <w:t>我厅</w:t>
      </w:r>
      <w:r>
        <w:rPr>
          <w:rFonts w:hint="default" w:asciiTheme="minorEastAsia" w:hAnsiTheme="minorEastAsia" w:eastAsiaTheme="minorEastAsia"/>
          <w:sz w:val="32"/>
          <w:szCs w:val="32"/>
        </w:rPr>
        <w:t>2019年度年初结转和结余8,140.01万元，本年收入93,360.15万元，本年支出53,619.95万元，结余分配54.66万元，年末结转和结余47,825.54万元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收支余平衡。与2018年相比，我厅收入、支出总计各增加39074.27万元，增长幅度为62.59%,增加部分主要是由于党中央</w:t>
      </w:r>
      <w:ins w:id="0" w:author="文涛" w:date="2020-08-28T09:10:46Z">
        <w:r>
          <w:rPr>
            <w:rFonts w:hint="eastAsia" w:asciiTheme="minorEastAsia" w:hAnsiTheme="minorEastAsia" w:eastAsiaTheme="minorEastAsia"/>
            <w:sz w:val="32"/>
            <w:szCs w:val="32"/>
            <w:lang w:val="en-US" w:eastAsia="zh-CN"/>
          </w:rPr>
          <w:t>国务院、</w:t>
        </w:r>
      </w:ins>
      <w:ins w:id="1" w:author="文涛" w:date="2020-08-28T09:10:48Z">
        <w:r>
          <w:rPr>
            <w:rFonts w:hint="eastAsia" w:asciiTheme="minorEastAsia" w:hAnsiTheme="minorEastAsia" w:eastAsiaTheme="minorEastAsia"/>
            <w:sz w:val="32"/>
            <w:szCs w:val="32"/>
            <w:lang w:val="en-US" w:eastAsia="zh-CN"/>
          </w:rPr>
          <w:t>省委</w:t>
        </w:r>
      </w:ins>
      <w:ins w:id="2" w:author="文涛" w:date="2020-08-28T09:10:49Z">
        <w:r>
          <w:rPr>
            <w:rFonts w:hint="eastAsia" w:asciiTheme="minorEastAsia" w:hAnsiTheme="minorEastAsia" w:eastAsiaTheme="minorEastAsia"/>
            <w:sz w:val="32"/>
            <w:szCs w:val="32"/>
            <w:lang w:val="en-US" w:eastAsia="zh-CN"/>
          </w:rPr>
          <w:t>省政府</w:t>
        </w:r>
      </w:ins>
      <w:r>
        <w:rPr>
          <w:rFonts w:hint="eastAsia" w:asciiTheme="minorEastAsia" w:hAnsiTheme="minorEastAsia" w:eastAsiaTheme="minorEastAsia"/>
          <w:sz w:val="32"/>
          <w:szCs w:val="32"/>
          <w:lang w:val="en-US" w:eastAsia="zh-CN"/>
        </w:rPr>
        <w:t>高度重视生态环境保护工作，中央及省级财政年中追加</w:t>
      </w:r>
      <w:ins w:id="3" w:author="文涛" w:date="2020-08-28T09:11:11Z">
        <w:r>
          <w:rPr>
            <w:rFonts w:hint="eastAsia" w:asciiTheme="minorEastAsia" w:hAnsiTheme="minorEastAsia" w:eastAsiaTheme="minorEastAsia"/>
            <w:sz w:val="32"/>
            <w:szCs w:val="32"/>
            <w:lang w:val="en-US" w:eastAsia="zh-CN"/>
          </w:rPr>
          <w:t>的</w:t>
        </w:r>
      </w:ins>
      <w:r>
        <w:rPr>
          <w:rFonts w:hint="eastAsia" w:asciiTheme="minorEastAsia" w:hAnsiTheme="minorEastAsia" w:eastAsiaTheme="minorEastAsia"/>
          <w:sz w:val="32"/>
          <w:szCs w:val="32"/>
          <w:lang w:val="en-US" w:eastAsia="zh-CN"/>
        </w:rPr>
        <w:t>专项资金。</w:t>
      </w:r>
    </w:p>
    <w:p>
      <w:pPr>
        <w:pStyle w:val="11"/>
        <w:rPr>
          <w:rFonts w:hAnsi="黑体"/>
          <w:b/>
          <w:sz w:val="32"/>
          <w:szCs w:val="32"/>
        </w:rPr>
      </w:pPr>
      <w:r>
        <w:rPr>
          <w:rFonts w:hint="eastAsia" w:hAnsi="黑体"/>
          <w:b/>
          <w:sz w:val="32"/>
          <w:szCs w:val="32"/>
        </w:rPr>
        <w:t>二、收入决算情况说明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w:t>
      </w:r>
      <w:r>
        <w:rPr>
          <w:rFonts w:hint="default" w:asciiTheme="minorEastAsia" w:hAnsiTheme="minorEastAsia" w:eastAsiaTheme="minorEastAsia"/>
          <w:sz w:val="32"/>
          <w:szCs w:val="32"/>
        </w:rPr>
        <w:t>93,360.15</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85798.6</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占</w:t>
      </w:r>
      <w:r>
        <w:rPr>
          <w:rFonts w:hint="eastAsia" w:asciiTheme="minorEastAsia" w:hAnsiTheme="minorEastAsia" w:eastAsiaTheme="minorEastAsia"/>
          <w:sz w:val="32"/>
          <w:szCs w:val="32"/>
          <w:lang w:val="en-US" w:eastAsia="zh-CN"/>
        </w:rPr>
        <w:t>91.9</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47.6</w:t>
      </w:r>
      <w:r>
        <w:rPr>
          <w:rFonts w:hint="eastAsia" w:asciiTheme="minorEastAsia" w:hAnsiTheme="minorEastAsia" w:eastAsiaTheme="minorEastAsia"/>
          <w:sz w:val="32"/>
          <w:szCs w:val="32"/>
        </w:rPr>
        <w:t>万元；事业收入</w:t>
      </w:r>
      <w:r>
        <w:rPr>
          <w:rFonts w:hint="eastAsia" w:asciiTheme="minorEastAsia" w:hAnsiTheme="minorEastAsia" w:eastAsiaTheme="minorEastAsia"/>
          <w:sz w:val="32"/>
          <w:szCs w:val="32"/>
          <w:lang w:val="en-US" w:eastAsia="zh-CN"/>
        </w:rPr>
        <w:t>5835.63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6.25</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960.22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718.1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0.77</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三、支出决算情况说明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hint="default" w:asciiTheme="minorEastAsia" w:hAnsiTheme="minorEastAsia" w:eastAsiaTheme="minorEastAsia"/>
          <w:sz w:val="32"/>
          <w:szCs w:val="32"/>
        </w:rPr>
        <w:t>53,619.95</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24380.3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45.47</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28498.99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53.15</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740.66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1.39</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四、财政拨款收入支出决算总体情况说明</w:t>
      </w:r>
    </w:p>
    <w:p>
      <w:pPr>
        <w:pStyle w:val="11"/>
        <w:ind w:firstLine="64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2019年度财政拨款收</w:t>
      </w:r>
      <w:r>
        <w:rPr>
          <w:rFonts w:hint="eastAsia" w:asciiTheme="minorEastAsia" w:hAnsiTheme="minorEastAsia" w:eastAsiaTheme="minorEastAsia"/>
          <w:sz w:val="32"/>
          <w:szCs w:val="32"/>
          <w:lang w:eastAsia="zh-CN"/>
        </w:rPr>
        <w:t>入</w:t>
      </w:r>
      <w:r>
        <w:rPr>
          <w:rFonts w:hint="eastAsia" w:asciiTheme="minorEastAsia" w:hAnsiTheme="minorEastAsia" w:eastAsiaTheme="minorEastAsia"/>
          <w:sz w:val="32"/>
          <w:szCs w:val="32"/>
          <w:lang w:val="en-US" w:eastAsia="zh-CN"/>
        </w:rPr>
        <w:t>85798.6</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较</w:t>
      </w:r>
      <w:r>
        <w:rPr>
          <w:rFonts w:hint="eastAsia" w:asciiTheme="minorEastAsia" w:hAnsiTheme="minorEastAsia" w:eastAsiaTheme="minorEastAsia"/>
          <w:sz w:val="32"/>
          <w:szCs w:val="32"/>
        </w:rPr>
        <w:t>2018年增加</w:t>
      </w:r>
      <w:r>
        <w:rPr>
          <w:rFonts w:hint="eastAsia" w:asciiTheme="minorEastAsia" w:hAnsiTheme="minorEastAsia" w:eastAsiaTheme="minorEastAsia"/>
          <w:sz w:val="32"/>
          <w:szCs w:val="32"/>
          <w:lang w:val="en-US" w:eastAsia="zh-CN"/>
        </w:rPr>
        <w:t>43690.54</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103.75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支出总计</w:t>
      </w:r>
      <w:r>
        <w:rPr>
          <w:rFonts w:hint="eastAsia" w:asciiTheme="minorEastAsia" w:hAnsiTheme="minorEastAsia" w:eastAsiaTheme="minorEastAsia"/>
          <w:sz w:val="32"/>
          <w:szCs w:val="32"/>
          <w:lang w:val="en-US" w:eastAsia="zh-CN"/>
        </w:rPr>
        <w:t>46187.63</w:t>
      </w:r>
      <w:r>
        <w:rPr>
          <w:rFonts w:hint="eastAsia" w:asciiTheme="minorEastAsia" w:hAnsiTheme="minorEastAsia" w:eastAsiaTheme="minorEastAsia"/>
          <w:sz w:val="32"/>
          <w:szCs w:val="32"/>
          <w:lang w:eastAsia="zh-CN"/>
        </w:rPr>
        <w:t>万元，较</w:t>
      </w:r>
      <w:r>
        <w:rPr>
          <w:rFonts w:hint="eastAsia" w:asciiTheme="minorEastAsia" w:hAnsiTheme="minorEastAsia" w:eastAsiaTheme="minorEastAsia"/>
          <w:sz w:val="32"/>
          <w:szCs w:val="32"/>
          <w:lang w:val="en-US" w:eastAsia="zh-CN"/>
        </w:rPr>
        <w:t>2018年增加32.35%，收入增加的</w:t>
      </w:r>
      <w:r>
        <w:rPr>
          <w:rFonts w:hint="eastAsia" w:asciiTheme="minorEastAsia" w:hAnsiTheme="minorEastAsia" w:eastAsiaTheme="minorEastAsia"/>
          <w:sz w:val="32"/>
          <w:szCs w:val="32"/>
        </w:rPr>
        <w:t>主要</w:t>
      </w:r>
      <w:r>
        <w:rPr>
          <w:rFonts w:hint="eastAsia" w:asciiTheme="minorEastAsia" w:hAnsiTheme="minorEastAsia" w:eastAsiaTheme="minorEastAsia"/>
          <w:sz w:val="32"/>
          <w:szCs w:val="32"/>
          <w:lang w:eastAsia="zh-CN"/>
        </w:rPr>
        <w:t>原因是</w:t>
      </w:r>
      <w:r>
        <w:rPr>
          <w:rFonts w:hint="eastAsia" w:asciiTheme="minorEastAsia" w:hAnsiTheme="minorEastAsia" w:eastAsiaTheme="minorEastAsia"/>
          <w:sz w:val="32"/>
          <w:szCs w:val="32"/>
          <w:lang w:val="en-US" w:eastAsia="zh-CN"/>
        </w:rPr>
        <w:t>党中央国务院、省委省政府高度重视生态环境保护工作，中央及省级财政年中追加了专项资金；支出增加的主要原因是由于机构改革，省</w:t>
      </w:r>
      <w:r>
        <w:rPr>
          <w:rFonts w:hint="eastAsia" w:asciiTheme="minorEastAsia" w:hAnsiTheme="minorEastAsia" w:eastAsiaTheme="minorEastAsia"/>
          <w:sz w:val="32"/>
          <w:szCs w:val="32"/>
          <w:lang w:eastAsia="zh-CN"/>
        </w:rPr>
        <w:t>农环站并入我厅决算系统，支出基数增大。</w:t>
      </w:r>
    </w:p>
    <w:p>
      <w:pPr>
        <w:pStyle w:val="11"/>
        <w:rPr>
          <w:rFonts w:hAnsi="黑体"/>
          <w:b/>
          <w:sz w:val="32"/>
          <w:szCs w:val="32"/>
        </w:rPr>
      </w:pPr>
      <w:r>
        <w:rPr>
          <w:rFonts w:hint="eastAsia" w:hAnsi="黑体"/>
          <w:b/>
          <w:sz w:val="32"/>
          <w:szCs w:val="32"/>
        </w:rPr>
        <w:t>五、一般公共预算财政拨款支出决算情况说明</w:t>
      </w:r>
    </w:p>
    <w:p>
      <w:pPr>
        <w:pStyle w:val="11"/>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1"/>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2019年度财政拨款支出</w:t>
      </w:r>
      <w:r>
        <w:rPr>
          <w:rFonts w:hint="eastAsia" w:asciiTheme="minorEastAsia" w:hAnsiTheme="minorEastAsia" w:eastAsiaTheme="minorEastAsia"/>
          <w:sz w:val="32"/>
          <w:szCs w:val="32"/>
          <w:lang w:val="en-US" w:eastAsia="zh-CN"/>
        </w:rPr>
        <w:t>46187.63</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86.14</w:t>
      </w:r>
      <w:r>
        <w:rPr>
          <w:rFonts w:hint="eastAsia" w:asciiTheme="minorEastAsia" w:hAnsiTheme="minorEastAsia" w:eastAsiaTheme="minorEastAsia"/>
          <w:sz w:val="32"/>
          <w:szCs w:val="32"/>
        </w:rPr>
        <w:t>%，与2018年相比，财政拨款支出增加11288.41万元，增长</w:t>
      </w:r>
      <w:r>
        <w:rPr>
          <w:rFonts w:hint="eastAsia" w:asciiTheme="minorEastAsia" w:hAnsiTheme="minorEastAsia" w:eastAsiaTheme="minorEastAsia"/>
          <w:sz w:val="32"/>
          <w:szCs w:val="32"/>
          <w:lang w:val="en-US" w:eastAsia="zh-CN"/>
        </w:rPr>
        <w:t>32.35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支出增加的主要原因是由于机构改革，省</w:t>
      </w:r>
      <w:r>
        <w:rPr>
          <w:rFonts w:hint="eastAsia" w:asciiTheme="minorEastAsia" w:hAnsiTheme="minorEastAsia" w:eastAsiaTheme="minorEastAsia"/>
          <w:sz w:val="32"/>
          <w:szCs w:val="32"/>
          <w:lang w:eastAsia="zh-CN"/>
        </w:rPr>
        <w:t>农环站并入我厅决算系统，支出基数增大。</w:t>
      </w:r>
    </w:p>
    <w:p>
      <w:pPr>
        <w:pStyle w:val="11"/>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1"/>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2019年度财政拨款支出</w:t>
      </w:r>
      <w:r>
        <w:rPr>
          <w:rFonts w:hint="eastAsia" w:asciiTheme="minorEastAsia" w:hAnsiTheme="minorEastAsia" w:eastAsiaTheme="minorEastAsia"/>
          <w:sz w:val="32"/>
          <w:szCs w:val="32"/>
          <w:lang w:val="en-US" w:eastAsia="zh-CN"/>
        </w:rPr>
        <w:t>46187.63</w:t>
      </w:r>
      <w:r>
        <w:rPr>
          <w:rFonts w:hint="eastAsia" w:asciiTheme="minorEastAsia" w:hAnsiTheme="minorEastAsia" w:eastAsiaTheme="minorEastAsia"/>
          <w:sz w:val="32"/>
          <w:szCs w:val="32"/>
        </w:rPr>
        <w:t>万元，主要用于以下方面：一般公共服务支出</w:t>
      </w:r>
      <w:r>
        <w:rPr>
          <w:rFonts w:hint="eastAsia" w:asciiTheme="minorEastAsia" w:hAnsiTheme="minorEastAsia" w:eastAsiaTheme="minorEastAsia"/>
          <w:sz w:val="32"/>
          <w:szCs w:val="32"/>
          <w:lang w:val="en-US" w:eastAsia="zh-CN"/>
        </w:rPr>
        <w:t>265.58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0.58</w:t>
      </w:r>
      <w:r>
        <w:rPr>
          <w:rFonts w:hint="eastAsia" w:asciiTheme="minorEastAsia" w:hAnsiTheme="minorEastAsia" w:eastAsiaTheme="minorEastAsia"/>
          <w:sz w:val="32"/>
          <w:szCs w:val="32"/>
        </w:rPr>
        <w:t>%；教育支出</w:t>
      </w:r>
      <w:r>
        <w:rPr>
          <w:rFonts w:hint="eastAsia" w:asciiTheme="minorEastAsia" w:hAnsiTheme="minorEastAsia" w:eastAsiaTheme="minorEastAsia"/>
          <w:sz w:val="32"/>
          <w:szCs w:val="32"/>
          <w:lang w:val="en-US" w:eastAsia="zh-CN"/>
        </w:rPr>
        <w:t>9033.7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19.56</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科学技术支出</w:t>
      </w:r>
      <w:r>
        <w:rPr>
          <w:rFonts w:hint="eastAsia" w:asciiTheme="minorEastAsia" w:hAnsiTheme="minorEastAsia" w:eastAsiaTheme="minorEastAsia"/>
          <w:sz w:val="32"/>
          <w:szCs w:val="32"/>
          <w:lang w:val="en-US" w:eastAsia="zh-CN"/>
        </w:rPr>
        <w:t>76.3万元，占0.17%；社会保障和就业支出3066.95万元，</w:t>
      </w:r>
      <w:r>
        <w:rPr>
          <w:rFonts w:hint="eastAsia" w:asciiTheme="minorEastAsia" w:hAnsiTheme="minorEastAsia" w:eastAsiaTheme="minorEastAsia"/>
          <w:sz w:val="32"/>
          <w:szCs w:val="32"/>
        </w:rPr>
        <w:t>占</w:t>
      </w:r>
      <w:r>
        <w:rPr>
          <w:rFonts w:hint="eastAsia" w:asciiTheme="minorEastAsia" w:hAnsiTheme="minorEastAsia" w:eastAsiaTheme="minorEastAsia"/>
          <w:sz w:val="32"/>
          <w:szCs w:val="32"/>
          <w:lang w:val="en-US" w:eastAsia="zh-CN"/>
        </w:rPr>
        <w:t>6.64</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；节能环保支出</w:t>
      </w:r>
      <w:r>
        <w:rPr>
          <w:rFonts w:hint="eastAsia" w:asciiTheme="minorEastAsia" w:hAnsiTheme="minorEastAsia" w:eastAsiaTheme="minorEastAsia"/>
          <w:sz w:val="32"/>
          <w:szCs w:val="32"/>
          <w:lang w:val="en-US" w:eastAsia="zh-CN"/>
        </w:rPr>
        <w:t>31818.02万元，占68.89%；城乡社区支出198.17万元，占0.43%；农林水支出394万元，占0.85%；住房保障支出1334.92万元，占2.89%。</w:t>
      </w:r>
    </w:p>
    <w:p>
      <w:pPr>
        <w:pStyle w:val="11"/>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2019年度财政拨款支出年初预算数为</w:t>
      </w:r>
      <w:r>
        <w:rPr>
          <w:rFonts w:hint="eastAsia" w:asciiTheme="minorEastAsia" w:hAnsiTheme="minorEastAsia" w:eastAsiaTheme="minorEastAsia"/>
          <w:sz w:val="32"/>
          <w:szCs w:val="32"/>
          <w:lang w:val="en-US" w:eastAsia="zh-CN"/>
        </w:rPr>
        <w:t>85798.6</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46187.63</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46.16</w:t>
      </w:r>
      <w:r>
        <w:rPr>
          <w:rFonts w:hint="eastAsia" w:asciiTheme="minorEastAsia" w:hAnsiTheme="minorEastAsia" w:eastAsiaTheme="minorEastAsia"/>
          <w:sz w:val="32"/>
          <w:szCs w:val="32"/>
        </w:rPr>
        <w:t>%，其中：</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bCs w:val="0"/>
          <w:sz w:val="32"/>
          <w:szCs w:val="32"/>
          <w:lang w:val="en-US" w:eastAsia="zh-CN"/>
        </w:rPr>
        <w:t>（1）一般公共服务支出（类）人大事务（款）行政运行（项）。</w:t>
      </w:r>
      <w:r>
        <w:rPr>
          <w:rFonts w:hint="eastAsia" w:ascii="仿宋_GB2312" w:hAnsi="仿宋_GB2312" w:eastAsia="仿宋_GB2312" w:cs="仿宋_GB2312"/>
          <w:b w:val="0"/>
          <w:bCs/>
          <w:sz w:val="32"/>
          <w:szCs w:val="32"/>
          <w:lang w:val="en-US" w:eastAsia="zh-CN"/>
        </w:rPr>
        <w:t>本年预算534.6万元，本年支出257.06万元，预算执行率48.08%。</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bCs w:val="0"/>
          <w:sz w:val="32"/>
          <w:szCs w:val="32"/>
          <w:lang w:val="en-US" w:eastAsia="zh-CN"/>
        </w:rPr>
        <w:t>（2）一般公共服务支出（类）财政事务（款） 其他财政事务支出（项）。</w:t>
      </w:r>
      <w:r>
        <w:rPr>
          <w:rFonts w:hint="eastAsia" w:ascii="仿宋_GB2312" w:hAnsi="仿宋_GB2312" w:eastAsia="仿宋_GB2312" w:cs="仿宋_GB2312"/>
          <w:b w:val="0"/>
          <w:bCs/>
          <w:sz w:val="32"/>
          <w:szCs w:val="32"/>
          <w:lang w:val="en-US" w:eastAsia="zh-CN"/>
        </w:rPr>
        <w:t>本年预算0万元，本年支出0.8万元，均为年初结转结余资金。</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bCs w:val="0"/>
          <w:sz w:val="32"/>
          <w:szCs w:val="32"/>
          <w:lang w:val="en-US" w:eastAsia="zh-CN"/>
        </w:rPr>
        <w:t>（3）一般公共服务支出（类）市场监督管理事务（款）  标准化管理（项）。</w:t>
      </w:r>
      <w:r>
        <w:rPr>
          <w:rFonts w:hint="eastAsia" w:ascii="仿宋_GB2312" w:hAnsi="仿宋_GB2312" w:eastAsia="仿宋_GB2312" w:cs="仿宋_GB2312"/>
          <w:b w:val="0"/>
          <w:bCs/>
          <w:sz w:val="32"/>
          <w:szCs w:val="32"/>
          <w:lang w:val="en-US" w:eastAsia="zh-CN"/>
        </w:rPr>
        <w:t>本年预算10万元，本年支出7.71万元，预算执行率77.1%。</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0" w:rightChars="0" w:firstLine="640" w:firstLineChars="200"/>
        <w:jc w:val="left"/>
        <w:textAlignment w:val="auto"/>
        <w:outlineLvl w:val="9"/>
        <w:rPr>
          <w:rFonts w:hint="eastAsia" w:ascii="仿宋_GB2312" w:eastAsia="仿宋_GB2312"/>
          <w:b w:val="0"/>
          <w:bCs w:val="0"/>
          <w:color w:val="000000"/>
          <w:kern w:val="0"/>
          <w:sz w:val="32"/>
          <w:szCs w:val="32"/>
          <w:lang w:val="en-US" w:eastAsia="zh-CN"/>
        </w:rPr>
      </w:pPr>
      <w:r>
        <w:rPr>
          <w:rFonts w:hint="eastAsia" w:ascii="仿宋_GB2312" w:eastAsia="仿宋_GB2312"/>
          <w:b/>
          <w:bCs/>
          <w:color w:val="000000"/>
          <w:kern w:val="0"/>
          <w:sz w:val="32"/>
          <w:szCs w:val="32"/>
          <w:lang w:eastAsia="zh-CN"/>
        </w:rPr>
        <w:t>（</w:t>
      </w:r>
      <w:r>
        <w:rPr>
          <w:rFonts w:hint="eastAsia" w:ascii="仿宋_GB2312" w:eastAsia="仿宋_GB2312"/>
          <w:b/>
          <w:bCs/>
          <w:color w:val="000000"/>
          <w:kern w:val="0"/>
          <w:sz w:val="32"/>
          <w:szCs w:val="32"/>
          <w:lang w:val="en-US" w:eastAsia="zh-CN"/>
        </w:rPr>
        <w:t>4</w:t>
      </w:r>
      <w:r>
        <w:rPr>
          <w:rFonts w:hint="eastAsia" w:ascii="仿宋_GB2312" w:eastAsia="仿宋_GB2312"/>
          <w:b/>
          <w:bCs/>
          <w:color w:val="000000"/>
          <w:kern w:val="0"/>
          <w:sz w:val="32"/>
          <w:szCs w:val="32"/>
          <w:lang w:eastAsia="zh-CN"/>
        </w:rPr>
        <w:t>）</w:t>
      </w:r>
      <w:r>
        <w:rPr>
          <w:rFonts w:hint="eastAsia" w:ascii="仿宋_GB2312" w:eastAsia="仿宋_GB2312"/>
          <w:b/>
          <w:bCs/>
          <w:color w:val="000000"/>
          <w:kern w:val="0"/>
          <w:sz w:val="32"/>
          <w:szCs w:val="32"/>
        </w:rPr>
        <w:t>教育支出</w:t>
      </w:r>
      <w:r>
        <w:rPr>
          <w:rFonts w:hint="eastAsia" w:ascii="仿宋_GB2312" w:eastAsia="仿宋_GB2312"/>
          <w:b/>
          <w:bCs/>
          <w:color w:val="000000"/>
          <w:kern w:val="0"/>
          <w:sz w:val="32"/>
          <w:szCs w:val="32"/>
          <w:lang w:val="en-US" w:eastAsia="zh-CN"/>
        </w:rPr>
        <w:t>（类）职业教育（款）中专教育（项）。</w:t>
      </w:r>
      <w:r>
        <w:rPr>
          <w:rFonts w:hint="eastAsia" w:ascii="仿宋_GB2312" w:eastAsia="仿宋_GB2312"/>
          <w:b w:val="0"/>
          <w:bCs w:val="0"/>
          <w:color w:val="000000"/>
          <w:kern w:val="0"/>
          <w:sz w:val="32"/>
          <w:szCs w:val="32"/>
          <w:lang w:val="en-US" w:eastAsia="zh-CN"/>
        </w:rPr>
        <w:t>本年预算80.9万元，本年支出78万元，预算执行率96.41%。</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0" w:rightChars="0" w:firstLine="640" w:firstLineChars="200"/>
        <w:jc w:val="left"/>
        <w:textAlignment w:val="auto"/>
        <w:outlineLvl w:val="9"/>
        <w:rPr>
          <w:rFonts w:hint="eastAsia" w:ascii="仿宋_GB2312" w:eastAsia="仿宋_GB2312"/>
          <w:b w:val="0"/>
          <w:bCs w:val="0"/>
          <w:color w:val="000000"/>
          <w:kern w:val="0"/>
          <w:sz w:val="32"/>
          <w:szCs w:val="32"/>
          <w:lang w:val="en-US" w:eastAsia="zh-CN"/>
        </w:rPr>
      </w:pPr>
      <w:r>
        <w:rPr>
          <w:rFonts w:hint="eastAsia" w:ascii="仿宋_GB2312" w:eastAsia="仿宋_GB2312"/>
          <w:b/>
          <w:bCs/>
          <w:color w:val="000000"/>
          <w:kern w:val="0"/>
          <w:sz w:val="32"/>
          <w:szCs w:val="32"/>
          <w:lang w:eastAsia="zh-CN"/>
        </w:rPr>
        <w:t>（</w:t>
      </w:r>
      <w:r>
        <w:rPr>
          <w:rFonts w:hint="eastAsia" w:ascii="仿宋_GB2312" w:eastAsia="仿宋_GB2312"/>
          <w:b/>
          <w:bCs/>
          <w:color w:val="000000"/>
          <w:kern w:val="0"/>
          <w:sz w:val="32"/>
          <w:szCs w:val="32"/>
          <w:lang w:val="en-US" w:eastAsia="zh-CN"/>
        </w:rPr>
        <w:t>5</w:t>
      </w:r>
      <w:r>
        <w:rPr>
          <w:rFonts w:hint="eastAsia" w:ascii="仿宋_GB2312" w:eastAsia="仿宋_GB2312"/>
          <w:b/>
          <w:bCs/>
          <w:color w:val="000000"/>
          <w:kern w:val="0"/>
          <w:sz w:val="32"/>
          <w:szCs w:val="32"/>
          <w:lang w:eastAsia="zh-CN"/>
        </w:rPr>
        <w:t>）</w:t>
      </w:r>
      <w:r>
        <w:rPr>
          <w:rFonts w:hint="eastAsia" w:ascii="仿宋_GB2312" w:eastAsia="仿宋_GB2312"/>
          <w:b/>
          <w:bCs/>
          <w:color w:val="000000"/>
          <w:kern w:val="0"/>
          <w:sz w:val="32"/>
          <w:szCs w:val="32"/>
        </w:rPr>
        <w:t>教育支出</w:t>
      </w:r>
      <w:r>
        <w:rPr>
          <w:rFonts w:hint="eastAsia" w:ascii="仿宋_GB2312" w:eastAsia="仿宋_GB2312"/>
          <w:b/>
          <w:bCs/>
          <w:color w:val="000000"/>
          <w:kern w:val="0"/>
          <w:sz w:val="32"/>
          <w:szCs w:val="32"/>
          <w:lang w:val="en-US" w:eastAsia="zh-CN"/>
        </w:rPr>
        <w:t>（类）职业教育（款）高等职业教育（项）。</w:t>
      </w:r>
      <w:r>
        <w:rPr>
          <w:rFonts w:hint="eastAsia" w:ascii="仿宋_GB2312" w:eastAsia="仿宋_GB2312"/>
          <w:b w:val="0"/>
          <w:bCs w:val="0"/>
          <w:color w:val="000000"/>
          <w:kern w:val="0"/>
          <w:sz w:val="32"/>
          <w:szCs w:val="32"/>
          <w:lang w:val="en-US" w:eastAsia="zh-CN"/>
        </w:rPr>
        <w:t>上年结转831.48万元，本年预算9759.08万元，本年支出8955.69万元，预算执行率84.56%。</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0" w:rightChars="0" w:firstLine="640" w:firstLineChars="200"/>
        <w:jc w:val="left"/>
        <w:textAlignment w:val="auto"/>
        <w:outlineLvl w:val="9"/>
        <w:rPr>
          <w:rFonts w:hint="eastAsia" w:ascii="仿宋_GB2312" w:eastAsia="仿宋_GB2312"/>
          <w:b w:val="0"/>
          <w:bCs w:val="0"/>
          <w:color w:val="000000"/>
          <w:kern w:val="0"/>
          <w:sz w:val="32"/>
          <w:szCs w:val="32"/>
          <w:lang w:val="en-US" w:eastAsia="zh-CN"/>
        </w:rPr>
      </w:pPr>
      <w:r>
        <w:rPr>
          <w:rFonts w:hint="eastAsia" w:ascii="仿宋_GB2312" w:eastAsia="仿宋_GB2312"/>
          <w:b/>
          <w:bCs/>
          <w:color w:val="000000"/>
          <w:kern w:val="0"/>
          <w:sz w:val="32"/>
          <w:szCs w:val="32"/>
          <w:lang w:eastAsia="zh-CN"/>
        </w:rPr>
        <w:t>（</w:t>
      </w:r>
      <w:r>
        <w:rPr>
          <w:rFonts w:hint="eastAsia" w:ascii="仿宋_GB2312" w:eastAsia="仿宋_GB2312"/>
          <w:b/>
          <w:bCs/>
          <w:color w:val="000000"/>
          <w:kern w:val="0"/>
          <w:sz w:val="32"/>
          <w:szCs w:val="32"/>
          <w:lang w:val="en-US" w:eastAsia="zh-CN"/>
        </w:rPr>
        <w:t>6</w:t>
      </w:r>
      <w:r>
        <w:rPr>
          <w:rFonts w:hint="eastAsia" w:ascii="仿宋_GB2312" w:eastAsia="仿宋_GB2312"/>
          <w:b/>
          <w:bCs/>
          <w:color w:val="000000"/>
          <w:kern w:val="0"/>
          <w:sz w:val="32"/>
          <w:szCs w:val="32"/>
          <w:lang w:eastAsia="zh-CN"/>
        </w:rPr>
        <w:t>）</w:t>
      </w:r>
      <w:r>
        <w:rPr>
          <w:rFonts w:hint="eastAsia" w:ascii="仿宋_GB2312" w:eastAsia="仿宋_GB2312"/>
          <w:b/>
          <w:bCs/>
          <w:color w:val="000000"/>
          <w:kern w:val="0"/>
          <w:sz w:val="32"/>
          <w:szCs w:val="32"/>
        </w:rPr>
        <w:t>科学技术支出</w:t>
      </w:r>
      <w:r>
        <w:rPr>
          <w:rFonts w:hint="eastAsia" w:ascii="仿宋_GB2312" w:eastAsia="仿宋_GB2312"/>
          <w:b/>
          <w:bCs/>
          <w:color w:val="000000"/>
          <w:kern w:val="0"/>
          <w:sz w:val="32"/>
          <w:szCs w:val="32"/>
          <w:lang w:val="en-US" w:eastAsia="zh-CN"/>
        </w:rPr>
        <w:t>（类）应用研究（款）社会公益研究（项）。</w:t>
      </w:r>
      <w:r>
        <w:rPr>
          <w:rFonts w:hint="eastAsia" w:ascii="仿宋_GB2312" w:eastAsia="仿宋_GB2312"/>
          <w:b w:val="0"/>
          <w:bCs w:val="0"/>
          <w:color w:val="000000"/>
          <w:kern w:val="0"/>
          <w:sz w:val="32"/>
          <w:szCs w:val="32"/>
          <w:lang w:val="en-US" w:eastAsia="zh-CN"/>
        </w:rPr>
        <w:t>本年预算174万元，本年支出64万元，预算执行率36.78%。</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0" w:rightChars="0" w:firstLine="640" w:firstLineChars="200"/>
        <w:jc w:val="left"/>
        <w:textAlignment w:val="auto"/>
        <w:outlineLvl w:val="9"/>
        <w:rPr>
          <w:rFonts w:hint="eastAsia" w:ascii="仿宋_GB2312" w:eastAsia="仿宋_GB2312"/>
          <w:b w:val="0"/>
          <w:bCs w:val="0"/>
          <w:color w:val="000000"/>
          <w:kern w:val="0"/>
          <w:sz w:val="32"/>
          <w:szCs w:val="32"/>
          <w:lang w:val="en-US" w:eastAsia="zh-CN"/>
        </w:rPr>
      </w:pPr>
      <w:r>
        <w:rPr>
          <w:rFonts w:hint="eastAsia" w:ascii="仿宋_GB2312" w:eastAsia="仿宋_GB2312"/>
          <w:b/>
          <w:bCs/>
          <w:color w:val="000000"/>
          <w:kern w:val="0"/>
          <w:sz w:val="32"/>
          <w:szCs w:val="32"/>
          <w:lang w:eastAsia="zh-CN"/>
        </w:rPr>
        <w:t>（</w:t>
      </w:r>
      <w:r>
        <w:rPr>
          <w:rFonts w:hint="eastAsia" w:ascii="仿宋_GB2312" w:eastAsia="仿宋_GB2312"/>
          <w:b/>
          <w:bCs/>
          <w:color w:val="000000"/>
          <w:kern w:val="0"/>
          <w:sz w:val="32"/>
          <w:szCs w:val="32"/>
          <w:lang w:val="en-US" w:eastAsia="zh-CN"/>
        </w:rPr>
        <w:t>7</w:t>
      </w:r>
      <w:r>
        <w:rPr>
          <w:rFonts w:hint="eastAsia" w:ascii="仿宋_GB2312" w:eastAsia="仿宋_GB2312"/>
          <w:b/>
          <w:bCs/>
          <w:color w:val="000000"/>
          <w:kern w:val="0"/>
          <w:sz w:val="32"/>
          <w:szCs w:val="32"/>
          <w:lang w:eastAsia="zh-CN"/>
        </w:rPr>
        <w:t>）</w:t>
      </w:r>
      <w:r>
        <w:rPr>
          <w:rFonts w:hint="eastAsia" w:ascii="仿宋_GB2312" w:eastAsia="仿宋_GB2312"/>
          <w:b/>
          <w:bCs/>
          <w:color w:val="000000"/>
          <w:kern w:val="0"/>
          <w:sz w:val="32"/>
          <w:szCs w:val="32"/>
        </w:rPr>
        <w:t>科学技术支出</w:t>
      </w:r>
      <w:r>
        <w:rPr>
          <w:rFonts w:hint="eastAsia" w:ascii="仿宋_GB2312" w:eastAsia="仿宋_GB2312"/>
          <w:b/>
          <w:bCs/>
          <w:color w:val="000000"/>
          <w:kern w:val="0"/>
          <w:sz w:val="32"/>
          <w:szCs w:val="32"/>
          <w:lang w:val="en-US" w:eastAsia="zh-CN"/>
        </w:rPr>
        <w:t>（类）社会科学（款）其他社会科学支出（项）。</w:t>
      </w:r>
      <w:r>
        <w:rPr>
          <w:rFonts w:hint="eastAsia" w:ascii="仿宋_GB2312" w:eastAsia="仿宋_GB2312"/>
          <w:b w:val="0"/>
          <w:bCs w:val="0"/>
          <w:color w:val="000000"/>
          <w:kern w:val="0"/>
          <w:sz w:val="32"/>
          <w:szCs w:val="32"/>
          <w:lang w:val="en-US" w:eastAsia="zh-CN"/>
        </w:rPr>
        <w:t>年初结余2万元，本年预算4万元，本年支出6万元，预算执行率100%。</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0" w:rightChars="0" w:firstLine="640" w:firstLineChars="200"/>
        <w:jc w:val="left"/>
        <w:textAlignment w:val="auto"/>
        <w:outlineLvl w:val="9"/>
        <w:rPr>
          <w:rFonts w:hint="eastAsia" w:ascii="仿宋_GB2312" w:eastAsia="仿宋_GB2312"/>
          <w:b w:val="0"/>
          <w:bCs w:val="0"/>
          <w:color w:val="000000"/>
          <w:kern w:val="0"/>
          <w:sz w:val="32"/>
          <w:szCs w:val="32"/>
          <w:lang w:val="en-US" w:eastAsia="zh-CN"/>
        </w:rPr>
      </w:pPr>
      <w:r>
        <w:rPr>
          <w:rFonts w:hint="eastAsia" w:ascii="仿宋_GB2312" w:eastAsia="仿宋_GB2312"/>
          <w:b/>
          <w:bCs/>
          <w:color w:val="000000"/>
          <w:kern w:val="0"/>
          <w:sz w:val="32"/>
          <w:szCs w:val="32"/>
          <w:lang w:eastAsia="zh-CN"/>
        </w:rPr>
        <w:t>（</w:t>
      </w:r>
      <w:r>
        <w:rPr>
          <w:rFonts w:hint="eastAsia" w:ascii="仿宋_GB2312" w:eastAsia="仿宋_GB2312"/>
          <w:b/>
          <w:bCs/>
          <w:color w:val="000000"/>
          <w:kern w:val="0"/>
          <w:sz w:val="32"/>
          <w:szCs w:val="32"/>
          <w:lang w:val="en-US" w:eastAsia="zh-CN"/>
        </w:rPr>
        <w:t>8</w:t>
      </w:r>
      <w:r>
        <w:rPr>
          <w:rFonts w:hint="eastAsia" w:ascii="仿宋_GB2312" w:eastAsia="仿宋_GB2312"/>
          <w:b/>
          <w:bCs/>
          <w:color w:val="000000"/>
          <w:kern w:val="0"/>
          <w:sz w:val="32"/>
          <w:szCs w:val="32"/>
          <w:lang w:eastAsia="zh-CN"/>
        </w:rPr>
        <w:t>）</w:t>
      </w:r>
      <w:r>
        <w:rPr>
          <w:rFonts w:hint="eastAsia" w:ascii="仿宋_GB2312" w:eastAsia="仿宋_GB2312"/>
          <w:b/>
          <w:bCs/>
          <w:color w:val="000000"/>
          <w:kern w:val="0"/>
          <w:sz w:val="32"/>
          <w:szCs w:val="32"/>
        </w:rPr>
        <w:t>科学技术支出</w:t>
      </w:r>
      <w:r>
        <w:rPr>
          <w:rFonts w:hint="eastAsia" w:ascii="仿宋_GB2312" w:eastAsia="仿宋_GB2312"/>
          <w:b/>
          <w:bCs/>
          <w:color w:val="000000"/>
          <w:kern w:val="0"/>
          <w:sz w:val="32"/>
          <w:szCs w:val="32"/>
          <w:lang w:val="en-US" w:eastAsia="zh-CN"/>
        </w:rPr>
        <w:t>（类）科技重大项目（款）重点研发计划（项）。</w:t>
      </w:r>
      <w:r>
        <w:rPr>
          <w:rFonts w:hint="eastAsia" w:ascii="仿宋_GB2312" w:eastAsia="仿宋_GB2312"/>
          <w:b w:val="0"/>
          <w:bCs w:val="0"/>
          <w:color w:val="000000"/>
          <w:kern w:val="0"/>
          <w:sz w:val="32"/>
          <w:szCs w:val="32"/>
          <w:lang w:val="en-US" w:eastAsia="zh-CN"/>
        </w:rPr>
        <w:t>年初结余6.3万元，本年支出6.3万元，预算执行率100%。</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0" w:rightChars="0" w:firstLine="640" w:firstLineChars="200"/>
        <w:jc w:val="left"/>
        <w:textAlignment w:val="auto"/>
        <w:outlineLvl w:val="9"/>
        <w:rPr>
          <w:rFonts w:hint="eastAsia" w:ascii="仿宋_GB2312" w:eastAsia="仿宋_GB2312"/>
          <w:b w:val="0"/>
          <w:bCs w:val="0"/>
          <w:color w:val="000000"/>
          <w:kern w:val="0"/>
          <w:sz w:val="32"/>
          <w:szCs w:val="32"/>
          <w:lang w:val="en-US" w:eastAsia="zh-CN"/>
        </w:rPr>
      </w:pPr>
      <w:r>
        <w:rPr>
          <w:rFonts w:hint="eastAsia" w:ascii="仿宋_GB2312" w:eastAsia="仿宋_GB2312"/>
          <w:b/>
          <w:bCs/>
          <w:color w:val="000000"/>
          <w:kern w:val="0"/>
          <w:sz w:val="32"/>
          <w:szCs w:val="32"/>
          <w:lang w:eastAsia="zh-CN"/>
        </w:rPr>
        <w:t>（</w:t>
      </w:r>
      <w:r>
        <w:rPr>
          <w:rFonts w:hint="eastAsia" w:ascii="仿宋_GB2312" w:eastAsia="仿宋_GB2312"/>
          <w:b/>
          <w:bCs/>
          <w:color w:val="000000"/>
          <w:kern w:val="0"/>
          <w:sz w:val="32"/>
          <w:szCs w:val="32"/>
          <w:lang w:val="en-US" w:eastAsia="zh-CN"/>
        </w:rPr>
        <w:t>9</w:t>
      </w:r>
      <w:r>
        <w:rPr>
          <w:rFonts w:hint="eastAsia" w:ascii="仿宋_GB2312" w:eastAsia="仿宋_GB2312"/>
          <w:b/>
          <w:bCs/>
          <w:color w:val="000000"/>
          <w:kern w:val="0"/>
          <w:sz w:val="32"/>
          <w:szCs w:val="32"/>
          <w:lang w:eastAsia="zh-CN"/>
        </w:rPr>
        <w:t>）</w:t>
      </w:r>
      <w:r>
        <w:rPr>
          <w:rFonts w:hint="eastAsia" w:ascii="仿宋_GB2312" w:eastAsia="仿宋_GB2312"/>
          <w:b/>
          <w:bCs/>
          <w:color w:val="000000"/>
          <w:kern w:val="0"/>
          <w:sz w:val="32"/>
          <w:szCs w:val="32"/>
        </w:rPr>
        <w:t>文化体育与传媒支出</w:t>
      </w:r>
      <w:r>
        <w:rPr>
          <w:rFonts w:hint="eastAsia" w:ascii="仿宋_GB2312" w:eastAsia="仿宋_GB2312"/>
          <w:b/>
          <w:bCs/>
          <w:color w:val="000000"/>
          <w:kern w:val="0"/>
          <w:sz w:val="32"/>
          <w:szCs w:val="32"/>
          <w:lang w:val="en-US" w:eastAsia="zh-CN"/>
        </w:rPr>
        <w:t>（类）其他文化体育与传媒支出（款）其他文化体育与传媒支出（项）。</w:t>
      </w:r>
      <w:r>
        <w:rPr>
          <w:rFonts w:hint="eastAsia" w:ascii="仿宋_GB2312" w:eastAsia="仿宋_GB2312"/>
          <w:b w:val="0"/>
          <w:bCs w:val="0"/>
          <w:color w:val="000000"/>
          <w:kern w:val="0"/>
          <w:sz w:val="32"/>
          <w:szCs w:val="32"/>
          <w:lang w:val="en-US" w:eastAsia="zh-CN"/>
        </w:rPr>
        <w:t>本年预算0.2万元，本年支出0.2，预算执行率100%。</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0" w:rightChars="0" w:firstLine="640" w:firstLineChars="200"/>
        <w:jc w:val="left"/>
        <w:textAlignment w:val="auto"/>
        <w:outlineLvl w:val="9"/>
        <w:rPr>
          <w:rFonts w:hint="eastAsia" w:ascii="仿宋_GB2312" w:eastAsia="仿宋_GB2312"/>
          <w:b w:val="0"/>
          <w:bCs w:val="0"/>
          <w:color w:val="000000"/>
          <w:kern w:val="0"/>
          <w:sz w:val="32"/>
          <w:szCs w:val="32"/>
          <w:lang w:val="en-US" w:eastAsia="zh-CN"/>
        </w:rPr>
      </w:pPr>
      <w:r>
        <w:rPr>
          <w:rFonts w:hint="eastAsia" w:ascii="仿宋_GB2312" w:eastAsia="仿宋_GB2312"/>
          <w:b/>
          <w:bCs/>
          <w:color w:val="000000"/>
          <w:kern w:val="0"/>
          <w:sz w:val="32"/>
          <w:szCs w:val="32"/>
          <w:lang w:eastAsia="zh-CN"/>
        </w:rPr>
        <w:t>（</w:t>
      </w:r>
      <w:r>
        <w:rPr>
          <w:rFonts w:hint="eastAsia" w:ascii="仿宋_GB2312" w:eastAsia="仿宋_GB2312"/>
          <w:b/>
          <w:bCs/>
          <w:color w:val="000000"/>
          <w:kern w:val="0"/>
          <w:sz w:val="32"/>
          <w:szCs w:val="32"/>
          <w:lang w:val="en-US" w:eastAsia="zh-CN"/>
        </w:rPr>
        <w:t>10</w:t>
      </w:r>
      <w:r>
        <w:rPr>
          <w:rFonts w:hint="eastAsia" w:ascii="仿宋_GB2312" w:eastAsia="仿宋_GB2312"/>
          <w:b/>
          <w:bCs/>
          <w:color w:val="000000"/>
          <w:kern w:val="0"/>
          <w:sz w:val="32"/>
          <w:szCs w:val="32"/>
          <w:lang w:eastAsia="zh-CN"/>
        </w:rPr>
        <w:t>）</w:t>
      </w:r>
      <w:r>
        <w:rPr>
          <w:rFonts w:hint="eastAsia" w:ascii="仿宋_GB2312" w:eastAsia="仿宋_GB2312"/>
          <w:b/>
          <w:bCs/>
          <w:color w:val="000000"/>
          <w:kern w:val="0"/>
          <w:sz w:val="32"/>
          <w:szCs w:val="32"/>
        </w:rPr>
        <w:t>社会保障和就业支出</w:t>
      </w:r>
      <w:r>
        <w:rPr>
          <w:rFonts w:hint="eastAsia" w:ascii="仿宋_GB2312" w:eastAsia="仿宋_GB2312"/>
          <w:b/>
          <w:bCs/>
          <w:color w:val="000000"/>
          <w:kern w:val="0"/>
          <w:sz w:val="32"/>
          <w:szCs w:val="32"/>
          <w:lang w:val="en-US" w:eastAsia="zh-CN"/>
        </w:rPr>
        <w:t>（类）行政事业单位离退休（款）归口管理的行政单位离退休（项）。</w:t>
      </w:r>
      <w:r>
        <w:rPr>
          <w:rFonts w:hint="eastAsia" w:ascii="仿宋_GB2312" w:eastAsia="仿宋_GB2312"/>
          <w:b w:val="0"/>
          <w:bCs w:val="0"/>
          <w:color w:val="000000"/>
          <w:kern w:val="0"/>
          <w:sz w:val="32"/>
          <w:szCs w:val="32"/>
          <w:lang w:val="en-US" w:eastAsia="zh-CN"/>
        </w:rPr>
        <w:t>本年预算32.24万元，本年支出32.24万元，预算执行率100%。</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0" w:rightChars="0" w:firstLine="640" w:firstLineChars="200"/>
        <w:jc w:val="left"/>
        <w:textAlignment w:val="auto"/>
        <w:outlineLvl w:val="9"/>
        <w:rPr>
          <w:rFonts w:hint="eastAsia" w:ascii="仿宋_GB2312" w:eastAsia="仿宋_GB2312"/>
          <w:b w:val="0"/>
          <w:bCs w:val="0"/>
          <w:color w:val="000000"/>
          <w:kern w:val="0"/>
          <w:sz w:val="32"/>
          <w:szCs w:val="32"/>
          <w:lang w:val="en-US" w:eastAsia="zh-CN"/>
        </w:rPr>
      </w:pPr>
      <w:r>
        <w:rPr>
          <w:rFonts w:hint="eastAsia" w:ascii="仿宋_GB2312" w:eastAsia="仿宋_GB2312"/>
          <w:b/>
          <w:bCs/>
          <w:color w:val="000000"/>
          <w:kern w:val="0"/>
          <w:sz w:val="32"/>
          <w:szCs w:val="32"/>
          <w:lang w:eastAsia="zh-CN"/>
        </w:rPr>
        <w:t>（</w:t>
      </w:r>
      <w:r>
        <w:rPr>
          <w:rFonts w:hint="eastAsia" w:ascii="仿宋_GB2312" w:eastAsia="仿宋_GB2312"/>
          <w:b/>
          <w:bCs/>
          <w:color w:val="000000"/>
          <w:kern w:val="0"/>
          <w:sz w:val="32"/>
          <w:szCs w:val="32"/>
          <w:lang w:val="en-US" w:eastAsia="zh-CN"/>
        </w:rPr>
        <w:t>11</w:t>
      </w:r>
      <w:r>
        <w:rPr>
          <w:rFonts w:hint="eastAsia" w:ascii="仿宋_GB2312" w:eastAsia="仿宋_GB2312"/>
          <w:b/>
          <w:bCs/>
          <w:color w:val="000000"/>
          <w:kern w:val="0"/>
          <w:sz w:val="32"/>
          <w:szCs w:val="32"/>
          <w:lang w:eastAsia="zh-CN"/>
        </w:rPr>
        <w:t>）</w:t>
      </w:r>
      <w:r>
        <w:rPr>
          <w:rFonts w:hint="eastAsia" w:ascii="仿宋_GB2312" w:eastAsia="仿宋_GB2312"/>
          <w:b/>
          <w:bCs/>
          <w:color w:val="000000"/>
          <w:kern w:val="0"/>
          <w:sz w:val="32"/>
          <w:szCs w:val="32"/>
        </w:rPr>
        <w:t>社会保障和就业支出</w:t>
      </w:r>
      <w:r>
        <w:rPr>
          <w:rFonts w:hint="eastAsia" w:ascii="仿宋_GB2312" w:eastAsia="仿宋_GB2312"/>
          <w:b/>
          <w:bCs/>
          <w:color w:val="000000"/>
          <w:kern w:val="0"/>
          <w:sz w:val="32"/>
          <w:szCs w:val="32"/>
          <w:lang w:val="en-US" w:eastAsia="zh-CN"/>
        </w:rPr>
        <w:t>（类）行政事业单位离退休（款）机关事业单位基本养老保险缴费支出（项）。</w:t>
      </w:r>
      <w:r>
        <w:rPr>
          <w:rFonts w:hint="eastAsia" w:ascii="仿宋_GB2312" w:eastAsia="仿宋_GB2312"/>
          <w:b w:val="0"/>
          <w:bCs w:val="0"/>
          <w:color w:val="000000"/>
          <w:kern w:val="0"/>
          <w:sz w:val="32"/>
          <w:szCs w:val="32"/>
          <w:lang w:val="en-US" w:eastAsia="zh-CN"/>
        </w:rPr>
        <w:t>本年预算3044.43万元，本年支出3016.31万元，预算执行率99.08%。</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0" w:rightChars="0" w:firstLine="640" w:firstLineChars="200"/>
        <w:jc w:val="left"/>
        <w:textAlignment w:val="auto"/>
        <w:outlineLvl w:val="9"/>
        <w:rPr>
          <w:rFonts w:hint="eastAsia" w:ascii="仿宋_GB2312" w:eastAsia="仿宋_GB2312"/>
          <w:b w:val="0"/>
          <w:bCs w:val="0"/>
          <w:color w:val="000000"/>
          <w:kern w:val="0"/>
          <w:sz w:val="32"/>
          <w:szCs w:val="32"/>
          <w:lang w:val="en-US" w:eastAsia="zh-CN"/>
        </w:rPr>
      </w:pPr>
      <w:r>
        <w:rPr>
          <w:rFonts w:hint="eastAsia" w:ascii="仿宋_GB2312" w:eastAsia="仿宋_GB2312"/>
          <w:b/>
          <w:bCs/>
          <w:color w:val="000000"/>
          <w:kern w:val="0"/>
          <w:sz w:val="32"/>
          <w:szCs w:val="32"/>
          <w:lang w:eastAsia="zh-CN"/>
        </w:rPr>
        <w:t>（</w:t>
      </w:r>
      <w:r>
        <w:rPr>
          <w:rFonts w:hint="eastAsia" w:ascii="仿宋_GB2312" w:eastAsia="仿宋_GB2312"/>
          <w:b/>
          <w:bCs/>
          <w:color w:val="000000"/>
          <w:kern w:val="0"/>
          <w:sz w:val="32"/>
          <w:szCs w:val="32"/>
          <w:lang w:val="en-US" w:eastAsia="zh-CN"/>
        </w:rPr>
        <w:t>12</w:t>
      </w:r>
      <w:r>
        <w:rPr>
          <w:rFonts w:hint="eastAsia" w:ascii="仿宋_GB2312" w:eastAsia="仿宋_GB2312"/>
          <w:b/>
          <w:bCs/>
          <w:color w:val="000000"/>
          <w:kern w:val="0"/>
          <w:sz w:val="32"/>
          <w:szCs w:val="32"/>
          <w:lang w:eastAsia="zh-CN"/>
        </w:rPr>
        <w:t>）</w:t>
      </w:r>
      <w:r>
        <w:rPr>
          <w:rFonts w:hint="eastAsia" w:ascii="仿宋_GB2312" w:eastAsia="仿宋_GB2312"/>
          <w:b/>
          <w:bCs/>
          <w:color w:val="000000"/>
          <w:kern w:val="0"/>
          <w:sz w:val="32"/>
          <w:szCs w:val="32"/>
        </w:rPr>
        <w:t>社会保障和就业支出</w:t>
      </w:r>
      <w:r>
        <w:rPr>
          <w:rFonts w:hint="eastAsia" w:ascii="仿宋_GB2312" w:eastAsia="仿宋_GB2312"/>
          <w:b/>
          <w:bCs/>
          <w:color w:val="000000"/>
          <w:kern w:val="0"/>
          <w:sz w:val="32"/>
          <w:szCs w:val="32"/>
          <w:lang w:val="en-US" w:eastAsia="zh-CN"/>
        </w:rPr>
        <w:t>（类）就业补助（款）就业创业服务补贴（项）。</w:t>
      </w:r>
      <w:r>
        <w:rPr>
          <w:rFonts w:hint="eastAsia" w:ascii="仿宋_GB2312" w:eastAsia="仿宋_GB2312"/>
          <w:b w:val="0"/>
          <w:bCs w:val="0"/>
          <w:color w:val="000000"/>
          <w:kern w:val="0"/>
          <w:sz w:val="32"/>
          <w:szCs w:val="32"/>
          <w:lang w:val="en-US" w:eastAsia="zh-CN"/>
        </w:rPr>
        <w:t>本年预算18.4万元，本年支出18.4万元，预算执行率100%。</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0" w:rightChars="0" w:firstLine="640" w:firstLineChars="200"/>
        <w:jc w:val="left"/>
        <w:textAlignment w:val="auto"/>
        <w:outlineLvl w:val="9"/>
        <w:rPr>
          <w:rFonts w:hint="eastAsia" w:ascii="仿宋_GB2312" w:eastAsia="仿宋_GB2312"/>
          <w:b w:val="0"/>
          <w:bCs w:val="0"/>
          <w:color w:val="000000"/>
          <w:kern w:val="0"/>
          <w:sz w:val="32"/>
          <w:szCs w:val="32"/>
          <w:lang w:val="en-US" w:eastAsia="zh-CN"/>
        </w:rPr>
      </w:pPr>
      <w:r>
        <w:rPr>
          <w:rFonts w:hint="eastAsia" w:ascii="仿宋_GB2312" w:eastAsia="仿宋_GB2312"/>
          <w:b/>
          <w:bCs/>
          <w:color w:val="000000"/>
          <w:kern w:val="0"/>
          <w:sz w:val="32"/>
          <w:szCs w:val="32"/>
          <w:lang w:eastAsia="zh-CN"/>
        </w:rPr>
        <w:t>（</w:t>
      </w:r>
      <w:r>
        <w:rPr>
          <w:rFonts w:hint="eastAsia" w:ascii="仿宋_GB2312" w:eastAsia="仿宋_GB2312"/>
          <w:b/>
          <w:bCs/>
          <w:color w:val="000000"/>
          <w:kern w:val="0"/>
          <w:sz w:val="32"/>
          <w:szCs w:val="32"/>
          <w:lang w:val="en-US" w:eastAsia="zh-CN"/>
        </w:rPr>
        <w:t>13</w:t>
      </w:r>
      <w:r>
        <w:rPr>
          <w:rFonts w:hint="eastAsia" w:ascii="仿宋_GB2312" w:eastAsia="仿宋_GB2312"/>
          <w:b/>
          <w:bCs/>
          <w:color w:val="000000"/>
          <w:kern w:val="0"/>
          <w:sz w:val="32"/>
          <w:szCs w:val="32"/>
          <w:lang w:eastAsia="zh-CN"/>
        </w:rPr>
        <w:t>）</w:t>
      </w:r>
      <w:r>
        <w:rPr>
          <w:rFonts w:hint="eastAsia" w:ascii="仿宋_GB2312" w:eastAsia="仿宋_GB2312"/>
          <w:b/>
          <w:bCs/>
          <w:color w:val="000000"/>
          <w:kern w:val="0"/>
          <w:sz w:val="32"/>
          <w:szCs w:val="32"/>
        </w:rPr>
        <w:t>节能环保支出</w:t>
      </w:r>
      <w:r>
        <w:rPr>
          <w:rFonts w:hint="eastAsia" w:ascii="仿宋_GB2312" w:eastAsia="仿宋_GB2312"/>
          <w:b/>
          <w:bCs/>
          <w:color w:val="000000"/>
          <w:kern w:val="0"/>
          <w:sz w:val="32"/>
          <w:szCs w:val="32"/>
          <w:lang w:val="en-US" w:eastAsia="zh-CN"/>
        </w:rPr>
        <w:t>（类）环境保护管理事务（款）行政运行（项）。</w:t>
      </w:r>
      <w:r>
        <w:rPr>
          <w:rFonts w:hint="eastAsia" w:ascii="仿宋_GB2312" w:eastAsia="仿宋_GB2312"/>
          <w:b w:val="0"/>
          <w:bCs w:val="0"/>
          <w:color w:val="000000"/>
          <w:kern w:val="0"/>
          <w:sz w:val="32"/>
          <w:szCs w:val="32"/>
          <w:lang w:val="en-US" w:eastAsia="zh-CN"/>
        </w:rPr>
        <w:t>上年结转56.63万元，本年预算7577.41万元，本年支出7467.94万元，预算执行率97.82%。</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0" w:rightChars="0" w:firstLine="640" w:firstLineChars="200"/>
        <w:jc w:val="left"/>
        <w:textAlignment w:val="auto"/>
        <w:outlineLvl w:val="9"/>
        <w:rPr>
          <w:rFonts w:hint="eastAsia" w:ascii="仿宋_GB2312" w:eastAsia="仿宋_GB2312"/>
          <w:b w:val="0"/>
          <w:bCs w:val="0"/>
          <w:color w:val="000000"/>
          <w:kern w:val="0"/>
          <w:sz w:val="32"/>
          <w:szCs w:val="32"/>
          <w:lang w:val="en-US" w:eastAsia="zh-CN"/>
        </w:rPr>
      </w:pPr>
      <w:r>
        <w:rPr>
          <w:rFonts w:hint="eastAsia" w:ascii="仿宋_GB2312" w:eastAsia="仿宋_GB2312"/>
          <w:b/>
          <w:bCs/>
          <w:color w:val="000000"/>
          <w:kern w:val="0"/>
          <w:sz w:val="32"/>
          <w:szCs w:val="32"/>
          <w:lang w:eastAsia="zh-CN"/>
        </w:rPr>
        <w:t>（</w:t>
      </w:r>
      <w:r>
        <w:rPr>
          <w:rFonts w:hint="eastAsia" w:ascii="仿宋_GB2312" w:eastAsia="仿宋_GB2312"/>
          <w:b/>
          <w:bCs/>
          <w:color w:val="000000"/>
          <w:kern w:val="0"/>
          <w:sz w:val="32"/>
          <w:szCs w:val="32"/>
          <w:lang w:val="en-US" w:eastAsia="zh-CN"/>
        </w:rPr>
        <w:t>14</w:t>
      </w:r>
      <w:r>
        <w:rPr>
          <w:rFonts w:hint="eastAsia" w:ascii="仿宋_GB2312" w:eastAsia="仿宋_GB2312"/>
          <w:b/>
          <w:bCs/>
          <w:color w:val="000000"/>
          <w:kern w:val="0"/>
          <w:sz w:val="32"/>
          <w:szCs w:val="32"/>
          <w:lang w:eastAsia="zh-CN"/>
        </w:rPr>
        <w:t>）</w:t>
      </w:r>
      <w:r>
        <w:rPr>
          <w:rFonts w:hint="eastAsia" w:ascii="仿宋_GB2312" w:eastAsia="仿宋_GB2312"/>
          <w:b/>
          <w:bCs/>
          <w:color w:val="000000"/>
          <w:kern w:val="0"/>
          <w:sz w:val="32"/>
          <w:szCs w:val="32"/>
        </w:rPr>
        <w:t>节能环保支出</w:t>
      </w:r>
      <w:r>
        <w:rPr>
          <w:rFonts w:hint="eastAsia" w:ascii="仿宋_GB2312" w:eastAsia="仿宋_GB2312"/>
          <w:b/>
          <w:bCs/>
          <w:color w:val="000000"/>
          <w:kern w:val="0"/>
          <w:sz w:val="32"/>
          <w:szCs w:val="32"/>
          <w:lang w:val="en-US" w:eastAsia="zh-CN"/>
        </w:rPr>
        <w:t>（类）环境保护管理事务（款）一般行政管理事务（项）。</w:t>
      </w:r>
      <w:r>
        <w:rPr>
          <w:rFonts w:hint="eastAsia" w:ascii="仿宋_GB2312" w:eastAsia="仿宋_GB2312"/>
          <w:b w:val="0"/>
          <w:bCs w:val="0"/>
          <w:color w:val="000000"/>
          <w:kern w:val="0"/>
          <w:sz w:val="32"/>
          <w:szCs w:val="32"/>
          <w:lang w:val="en-US" w:eastAsia="zh-CN"/>
        </w:rPr>
        <w:t>上年结转3.9万元，本年预算434万元，本年支出401.9万元，预算执行率91.78%。</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0" w:rightChars="0" w:firstLine="640" w:firstLineChars="200"/>
        <w:jc w:val="left"/>
        <w:textAlignment w:val="auto"/>
        <w:outlineLvl w:val="9"/>
        <w:rPr>
          <w:rFonts w:hint="eastAsia" w:ascii="仿宋_GB2312" w:eastAsia="仿宋_GB2312"/>
          <w:b w:val="0"/>
          <w:bCs w:val="0"/>
          <w:color w:val="000000"/>
          <w:kern w:val="0"/>
          <w:sz w:val="32"/>
          <w:szCs w:val="32"/>
          <w:lang w:val="en-US" w:eastAsia="zh-CN"/>
        </w:rPr>
      </w:pPr>
      <w:r>
        <w:rPr>
          <w:rFonts w:hint="eastAsia" w:ascii="仿宋_GB2312" w:eastAsia="仿宋_GB2312"/>
          <w:b/>
          <w:bCs/>
          <w:color w:val="000000"/>
          <w:kern w:val="0"/>
          <w:sz w:val="32"/>
          <w:szCs w:val="32"/>
          <w:lang w:eastAsia="zh-CN"/>
        </w:rPr>
        <w:t>（</w:t>
      </w:r>
      <w:r>
        <w:rPr>
          <w:rFonts w:hint="eastAsia" w:ascii="仿宋_GB2312" w:eastAsia="仿宋_GB2312"/>
          <w:b/>
          <w:bCs/>
          <w:color w:val="000000"/>
          <w:kern w:val="0"/>
          <w:sz w:val="32"/>
          <w:szCs w:val="32"/>
          <w:lang w:val="en-US" w:eastAsia="zh-CN"/>
        </w:rPr>
        <w:t>15</w:t>
      </w:r>
      <w:r>
        <w:rPr>
          <w:rFonts w:hint="eastAsia" w:ascii="仿宋_GB2312" w:eastAsia="仿宋_GB2312"/>
          <w:b/>
          <w:bCs/>
          <w:color w:val="000000"/>
          <w:kern w:val="0"/>
          <w:sz w:val="32"/>
          <w:szCs w:val="32"/>
          <w:lang w:eastAsia="zh-CN"/>
        </w:rPr>
        <w:t>）</w:t>
      </w:r>
      <w:r>
        <w:rPr>
          <w:rFonts w:hint="eastAsia" w:ascii="仿宋_GB2312" w:eastAsia="仿宋_GB2312"/>
          <w:b/>
          <w:bCs/>
          <w:color w:val="000000"/>
          <w:kern w:val="0"/>
          <w:sz w:val="32"/>
          <w:szCs w:val="32"/>
        </w:rPr>
        <w:t>节能环保支出</w:t>
      </w:r>
      <w:r>
        <w:rPr>
          <w:rFonts w:hint="eastAsia" w:ascii="仿宋_GB2312" w:eastAsia="仿宋_GB2312"/>
          <w:b/>
          <w:bCs/>
          <w:color w:val="000000"/>
          <w:kern w:val="0"/>
          <w:sz w:val="32"/>
          <w:szCs w:val="32"/>
          <w:lang w:val="en-US" w:eastAsia="zh-CN"/>
        </w:rPr>
        <w:t>（类）环境保护管理事务（款）机关服务（项）。</w:t>
      </w:r>
      <w:r>
        <w:rPr>
          <w:rFonts w:hint="eastAsia" w:ascii="仿宋_GB2312" w:eastAsia="仿宋_GB2312"/>
          <w:b w:val="0"/>
          <w:bCs w:val="0"/>
          <w:color w:val="000000"/>
          <w:kern w:val="0"/>
          <w:sz w:val="32"/>
          <w:szCs w:val="32"/>
          <w:lang w:val="en-US" w:eastAsia="zh-CN"/>
        </w:rPr>
        <w:t>本年预算120万元，本年支出120万元，预算执行率100%。</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0" w:rightChars="0" w:firstLine="640" w:firstLineChars="200"/>
        <w:jc w:val="left"/>
        <w:textAlignment w:val="auto"/>
        <w:outlineLvl w:val="9"/>
        <w:rPr>
          <w:rFonts w:hint="eastAsia" w:ascii="仿宋_GB2312" w:eastAsia="仿宋_GB2312"/>
          <w:b w:val="0"/>
          <w:bCs w:val="0"/>
          <w:color w:val="000000"/>
          <w:kern w:val="0"/>
          <w:sz w:val="32"/>
          <w:szCs w:val="32"/>
          <w:lang w:val="en-US" w:eastAsia="zh-CN"/>
        </w:rPr>
      </w:pPr>
      <w:r>
        <w:rPr>
          <w:rFonts w:hint="eastAsia" w:ascii="仿宋_GB2312" w:eastAsia="仿宋_GB2312"/>
          <w:b/>
          <w:bCs/>
          <w:color w:val="000000"/>
          <w:kern w:val="0"/>
          <w:sz w:val="32"/>
          <w:szCs w:val="32"/>
          <w:lang w:eastAsia="zh-CN"/>
        </w:rPr>
        <w:t>（</w:t>
      </w:r>
      <w:r>
        <w:rPr>
          <w:rFonts w:hint="eastAsia" w:ascii="仿宋_GB2312" w:eastAsia="仿宋_GB2312"/>
          <w:b/>
          <w:bCs/>
          <w:color w:val="000000"/>
          <w:kern w:val="0"/>
          <w:sz w:val="32"/>
          <w:szCs w:val="32"/>
          <w:lang w:val="en-US" w:eastAsia="zh-CN"/>
        </w:rPr>
        <w:t>16</w:t>
      </w:r>
      <w:r>
        <w:rPr>
          <w:rFonts w:hint="eastAsia" w:ascii="仿宋_GB2312" w:eastAsia="仿宋_GB2312"/>
          <w:b/>
          <w:bCs/>
          <w:color w:val="000000"/>
          <w:kern w:val="0"/>
          <w:sz w:val="32"/>
          <w:szCs w:val="32"/>
          <w:lang w:eastAsia="zh-CN"/>
        </w:rPr>
        <w:t>）</w:t>
      </w:r>
      <w:r>
        <w:rPr>
          <w:rFonts w:hint="eastAsia" w:ascii="仿宋_GB2312" w:eastAsia="仿宋_GB2312"/>
          <w:b/>
          <w:bCs/>
          <w:color w:val="000000"/>
          <w:kern w:val="0"/>
          <w:sz w:val="32"/>
          <w:szCs w:val="32"/>
        </w:rPr>
        <w:t>节能环保支出</w:t>
      </w:r>
      <w:r>
        <w:rPr>
          <w:rFonts w:hint="eastAsia" w:ascii="仿宋_GB2312" w:eastAsia="仿宋_GB2312"/>
          <w:b/>
          <w:bCs/>
          <w:color w:val="000000"/>
          <w:kern w:val="0"/>
          <w:sz w:val="32"/>
          <w:szCs w:val="32"/>
          <w:lang w:val="en-US" w:eastAsia="zh-CN"/>
        </w:rPr>
        <w:t>（类）环境保护管理事务（款）环境保护宣传（项）。</w:t>
      </w:r>
      <w:r>
        <w:rPr>
          <w:rFonts w:hint="eastAsia" w:ascii="仿宋_GB2312" w:eastAsia="仿宋_GB2312"/>
          <w:b w:val="0"/>
          <w:bCs w:val="0"/>
          <w:color w:val="000000"/>
          <w:kern w:val="0"/>
          <w:sz w:val="32"/>
          <w:szCs w:val="32"/>
          <w:lang w:val="en-US" w:eastAsia="zh-CN"/>
        </w:rPr>
        <w:t>上年结转1.94万元，本年预算340万元，本年支出295.5万元，预算执行率86.42%。</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0" w:rightChars="0" w:firstLine="640" w:firstLineChars="200"/>
        <w:jc w:val="left"/>
        <w:textAlignment w:val="auto"/>
        <w:outlineLvl w:val="9"/>
        <w:rPr>
          <w:rFonts w:hint="eastAsia" w:ascii="仿宋_GB2312" w:eastAsia="仿宋_GB2312"/>
          <w:b w:val="0"/>
          <w:bCs w:val="0"/>
          <w:color w:val="000000"/>
          <w:kern w:val="0"/>
          <w:sz w:val="32"/>
          <w:szCs w:val="32"/>
          <w:lang w:val="en-US" w:eastAsia="zh-CN"/>
        </w:rPr>
      </w:pPr>
      <w:r>
        <w:rPr>
          <w:rFonts w:hint="eastAsia" w:ascii="仿宋_GB2312" w:eastAsia="仿宋_GB2312"/>
          <w:b/>
          <w:bCs/>
          <w:color w:val="000000"/>
          <w:kern w:val="0"/>
          <w:sz w:val="32"/>
          <w:szCs w:val="32"/>
          <w:lang w:eastAsia="zh-CN"/>
        </w:rPr>
        <w:t>（</w:t>
      </w:r>
      <w:r>
        <w:rPr>
          <w:rFonts w:hint="eastAsia" w:ascii="仿宋_GB2312" w:eastAsia="仿宋_GB2312"/>
          <w:b/>
          <w:bCs/>
          <w:color w:val="000000"/>
          <w:kern w:val="0"/>
          <w:sz w:val="32"/>
          <w:szCs w:val="32"/>
          <w:lang w:val="en-US" w:eastAsia="zh-CN"/>
        </w:rPr>
        <w:t>17</w:t>
      </w:r>
      <w:r>
        <w:rPr>
          <w:rFonts w:hint="eastAsia" w:ascii="仿宋_GB2312" w:eastAsia="仿宋_GB2312"/>
          <w:b/>
          <w:bCs/>
          <w:color w:val="000000"/>
          <w:kern w:val="0"/>
          <w:sz w:val="32"/>
          <w:szCs w:val="32"/>
          <w:lang w:eastAsia="zh-CN"/>
        </w:rPr>
        <w:t>）</w:t>
      </w:r>
      <w:r>
        <w:rPr>
          <w:rFonts w:hint="eastAsia" w:ascii="仿宋_GB2312" w:eastAsia="仿宋_GB2312"/>
          <w:b/>
          <w:bCs/>
          <w:color w:val="000000"/>
          <w:kern w:val="0"/>
          <w:sz w:val="32"/>
          <w:szCs w:val="32"/>
        </w:rPr>
        <w:t>节能环保支出</w:t>
      </w:r>
      <w:r>
        <w:rPr>
          <w:rFonts w:hint="eastAsia" w:ascii="仿宋_GB2312" w:eastAsia="仿宋_GB2312"/>
          <w:b/>
          <w:bCs/>
          <w:color w:val="000000"/>
          <w:kern w:val="0"/>
          <w:sz w:val="32"/>
          <w:szCs w:val="32"/>
          <w:lang w:val="en-US" w:eastAsia="zh-CN"/>
        </w:rPr>
        <w:t>（类）环境保护管理事务（款）环境保护法规、规划及标准（项）。</w:t>
      </w:r>
      <w:r>
        <w:rPr>
          <w:rFonts w:hint="eastAsia" w:ascii="仿宋_GB2312" w:eastAsia="仿宋_GB2312"/>
          <w:b w:val="0"/>
          <w:bCs w:val="0"/>
          <w:color w:val="000000"/>
          <w:kern w:val="0"/>
          <w:sz w:val="32"/>
          <w:szCs w:val="32"/>
          <w:lang w:val="en-US" w:eastAsia="zh-CN"/>
        </w:rPr>
        <w:t>上年结转50.1万元，本年预算214.39万元，本年支出194.53万元，预算执行率73.55% 。</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0" w:rightChars="0" w:firstLine="640" w:firstLineChars="200"/>
        <w:jc w:val="left"/>
        <w:textAlignment w:val="auto"/>
        <w:outlineLvl w:val="9"/>
        <w:rPr>
          <w:rFonts w:hint="eastAsia" w:ascii="仿宋_GB2312" w:eastAsia="仿宋_GB2312"/>
          <w:b w:val="0"/>
          <w:bCs w:val="0"/>
          <w:color w:val="000000"/>
          <w:kern w:val="0"/>
          <w:sz w:val="32"/>
          <w:szCs w:val="32"/>
          <w:lang w:val="en-US" w:eastAsia="zh-CN"/>
        </w:rPr>
      </w:pPr>
      <w:r>
        <w:rPr>
          <w:rFonts w:hint="eastAsia" w:ascii="仿宋_GB2312" w:eastAsia="仿宋_GB2312"/>
          <w:b/>
          <w:bCs/>
          <w:color w:val="000000"/>
          <w:kern w:val="0"/>
          <w:sz w:val="32"/>
          <w:szCs w:val="32"/>
          <w:lang w:eastAsia="zh-CN"/>
        </w:rPr>
        <w:t>（</w:t>
      </w:r>
      <w:r>
        <w:rPr>
          <w:rFonts w:hint="eastAsia" w:ascii="仿宋_GB2312" w:eastAsia="仿宋_GB2312"/>
          <w:b/>
          <w:bCs/>
          <w:color w:val="000000"/>
          <w:kern w:val="0"/>
          <w:sz w:val="32"/>
          <w:szCs w:val="32"/>
          <w:lang w:val="en-US" w:eastAsia="zh-CN"/>
        </w:rPr>
        <w:t>18</w:t>
      </w:r>
      <w:r>
        <w:rPr>
          <w:rFonts w:hint="eastAsia" w:ascii="仿宋_GB2312" w:eastAsia="仿宋_GB2312"/>
          <w:b/>
          <w:bCs/>
          <w:color w:val="000000"/>
          <w:kern w:val="0"/>
          <w:sz w:val="32"/>
          <w:szCs w:val="32"/>
          <w:lang w:eastAsia="zh-CN"/>
        </w:rPr>
        <w:t>）</w:t>
      </w:r>
      <w:r>
        <w:rPr>
          <w:rFonts w:hint="eastAsia" w:ascii="仿宋_GB2312" w:eastAsia="仿宋_GB2312"/>
          <w:b/>
          <w:bCs/>
          <w:color w:val="000000"/>
          <w:kern w:val="0"/>
          <w:sz w:val="32"/>
          <w:szCs w:val="32"/>
        </w:rPr>
        <w:t>节能环保支出</w:t>
      </w:r>
      <w:r>
        <w:rPr>
          <w:rFonts w:hint="eastAsia" w:ascii="仿宋_GB2312" w:eastAsia="仿宋_GB2312"/>
          <w:b/>
          <w:bCs/>
          <w:color w:val="000000"/>
          <w:kern w:val="0"/>
          <w:sz w:val="32"/>
          <w:szCs w:val="32"/>
          <w:lang w:val="en-US" w:eastAsia="zh-CN"/>
        </w:rPr>
        <w:t>（类）环境保护管理事务（款）环境国际合作及履约（项）。</w:t>
      </w:r>
      <w:r>
        <w:rPr>
          <w:rFonts w:hint="eastAsia" w:ascii="仿宋_GB2312" w:eastAsia="仿宋_GB2312"/>
          <w:b w:val="0"/>
          <w:bCs w:val="0"/>
          <w:color w:val="000000"/>
          <w:kern w:val="0"/>
          <w:sz w:val="32"/>
          <w:szCs w:val="32"/>
          <w:lang w:val="en-US" w:eastAsia="zh-CN"/>
        </w:rPr>
        <w:t>本年预算90万元，本年支出90万元，预算执行率100%。</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0" w:rightChars="0" w:firstLine="640" w:firstLineChars="200"/>
        <w:jc w:val="left"/>
        <w:textAlignment w:val="auto"/>
        <w:outlineLvl w:val="9"/>
        <w:rPr>
          <w:rFonts w:hint="eastAsia" w:ascii="仿宋_GB2312" w:eastAsia="仿宋_GB2312"/>
          <w:b w:val="0"/>
          <w:bCs w:val="0"/>
          <w:color w:val="000000"/>
          <w:kern w:val="0"/>
          <w:sz w:val="32"/>
          <w:szCs w:val="32"/>
          <w:lang w:val="en-US" w:eastAsia="zh-CN"/>
        </w:rPr>
      </w:pPr>
      <w:r>
        <w:rPr>
          <w:rFonts w:hint="eastAsia" w:ascii="仿宋_GB2312" w:eastAsia="仿宋_GB2312"/>
          <w:b/>
          <w:bCs/>
          <w:color w:val="000000"/>
          <w:kern w:val="0"/>
          <w:sz w:val="32"/>
          <w:szCs w:val="32"/>
          <w:lang w:eastAsia="zh-CN"/>
        </w:rPr>
        <w:t>（</w:t>
      </w:r>
      <w:r>
        <w:rPr>
          <w:rFonts w:hint="eastAsia" w:ascii="仿宋_GB2312" w:eastAsia="仿宋_GB2312"/>
          <w:b/>
          <w:bCs/>
          <w:color w:val="000000"/>
          <w:kern w:val="0"/>
          <w:sz w:val="32"/>
          <w:szCs w:val="32"/>
          <w:lang w:val="en-US" w:eastAsia="zh-CN"/>
        </w:rPr>
        <w:t>19</w:t>
      </w:r>
      <w:r>
        <w:rPr>
          <w:rFonts w:hint="eastAsia" w:ascii="仿宋_GB2312" w:eastAsia="仿宋_GB2312"/>
          <w:b/>
          <w:bCs/>
          <w:color w:val="000000"/>
          <w:kern w:val="0"/>
          <w:sz w:val="32"/>
          <w:szCs w:val="32"/>
          <w:lang w:eastAsia="zh-CN"/>
        </w:rPr>
        <w:t>）</w:t>
      </w:r>
      <w:r>
        <w:rPr>
          <w:rFonts w:hint="eastAsia" w:ascii="仿宋_GB2312" w:eastAsia="仿宋_GB2312"/>
          <w:b/>
          <w:bCs/>
          <w:color w:val="000000"/>
          <w:kern w:val="0"/>
          <w:sz w:val="32"/>
          <w:szCs w:val="32"/>
        </w:rPr>
        <w:t>节能环保支出</w:t>
      </w:r>
      <w:r>
        <w:rPr>
          <w:rFonts w:hint="eastAsia" w:ascii="仿宋_GB2312" w:eastAsia="仿宋_GB2312"/>
          <w:b/>
          <w:bCs/>
          <w:color w:val="000000"/>
          <w:kern w:val="0"/>
          <w:sz w:val="32"/>
          <w:szCs w:val="32"/>
          <w:lang w:val="en-US" w:eastAsia="zh-CN"/>
        </w:rPr>
        <w:t>（类）环境保护管理事务（款）应对气候变化管理事务（项）。</w:t>
      </w:r>
      <w:r>
        <w:rPr>
          <w:rFonts w:hint="eastAsia" w:ascii="仿宋_GB2312" w:eastAsia="仿宋_GB2312"/>
          <w:b w:val="0"/>
          <w:bCs w:val="0"/>
          <w:color w:val="000000"/>
          <w:kern w:val="0"/>
          <w:sz w:val="32"/>
          <w:szCs w:val="32"/>
          <w:lang w:val="en-US" w:eastAsia="zh-CN"/>
        </w:rPr>
        <w:t>本年预算820万元，本年支出723.87万元，预算执行率88.28%。</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0" w:rightChars="0" w:firstLine="640" w:firstLineChars="200"/>
        <w:jc w:val="left"/>
        <w:textAlignment w:val="auto"/>
        <w:outlineLvl w:val="9"/>
        <w:rPr>
          <w:rFonts w:hint="eastAsia" w:ascii="仿宋_GB2312" w:eastAsia="仿宋_GB2312"/>
          <w:b w:val="0"/>
          <w:bCs w:val="0"/>
          <w:color w:val="000000"/>
          <w:kern w:val="0"/>
          <w:sz w:val="32"/>
          <w:szCs w:val="32"/>
          <w:lang w:val="en-US" w:eastAsia="zh-CN"/>
        </w:rPr>
      </w:pPr>
      <w:r>
        <w:rPr>
          <w:rFonts w:hint="eastAsia" w:ascii="仿宋_GB2312" w:eastAsia="仿宋_GB2312"/>
          <w:b/>
          <w:bCs/>
          <w:color w:val="000000"/>
          <w:kern w:val="0"/>
          <w:sz w:val="32"/>
          <w:szCs w:val="32"/>
          <w:lang w:eastAsia="zh-CN"/>
        </w:rPr>
        <w:t>（</w:t>
      </w:r>
      <w:r>
        <w:rPr>
          <w:rFonts w:hint="eastAsia" w:ascii="仿宋_GB2312" w:eastAsia="仿宋_GB2312"/>
          <w:b/>
          <w:bCs/>
          <w:color w:val="000000"/>
          <w:kern w:val="0"/>
          <w:sz w:val="32"/>
          <w:szCs w:val="32"/>
          <w:lang w:val="en-US" w:eastAsia="zh-CN"/>
        </w:rPr>
        <w:t>20</w:t>
      </w:r>
      <w:r>
        <w:rPr>
          <w:rFonts w:hint="eastAsia" w:ascii="仿宋_GB2312" w:eastAsia="仿宋_GB2312"/>
          <w:b/>
          <w:bCs/>
          <w:color w:val="000000"/>
          <w:kern w:val="0"/>
          <w:sz w:val="32"/>
          <w:szCs w:val="32"/>
          <w:lang w:eastAsia="zh-CN"/>
        </w:rPr>
        <w:t>）</w:t>
      </w:r>
      <w:r>
        <w:rPr>
          <w:rFonts w:hint="eastAsia" w:ascii="仿宋_GB2312" w:eastAsia="仿宋_GB2312"/>
          <w:b/>
          <w:bCs/>
          <w:color w:val="000000"/>
          <w:kern w:val="0"/>
          <w:sz w:val="32"/>
          <w:szCs w:val="32"/>
        </w:rPr>
        <w:t>节能环保支出</w:t>
      </w:r>
      <w:r>
        <w:rPr>
          <w:rFonts w:hint="eastAsia" w:ascii="仿宋_GB2312" w:eastAsia="仿宋_GB2312"/>
          <w:b/>
          <w:bCs/>
          <w:color w:val="000000"/>
          <w:kern w:val="0"/>
          <w:sz w:val="32"/>
          <w:szCs w:val="32"/>
          <w:lang w:val="en-US" w:eastAsia="zh-CN"/>
        </w:rPr>
        <w:t>（类）环境保护管理事务（款）其他环境保护管理事务支出（项）。</w:t>
      </w:r>
      <w:r>
        <w:rPr>
          <w:rFonts w:hint="eastAsia" w:ascii="仿宋_GB2312" w:eastAsia="仿宋_GB2312"/>
          <w:b w:val="0"/>
          <w:bCs w:val="0"/>
          <w:color w:val="000000"/>
          <w:kern w:val="0"/>
          <w:sz w:val="32"/>
          <w:szCs w:val="32"/>
          <w:lang w:val="en-US" w:eastAsia="zh-CN"/>
        </w:rPr>
        <w:t>上年结转150.96万元，本年预算895.5万元，本年支出976.44万元，预算执行率93.31%。</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0" w:rightChars="0" w:firstLine="640" w:firstLineChars="200"/>
        <w:jc w:val="left"/>
        <w:textAlignment w:val="auto"/>
        <w:outlineLvl w:val="9"/>
        <w:rPr>
          <w:rFonts w:hint="eastAsia" w:ascii="仿宋_GB2312" w:eastAsia="仿宋_GB2312"/>
          <w:b w:val="0"/>
          <w:bCs w:val="0"/>
          <w:color w:val="000000"/>
          <w:kern w:val="0"/>
          <w:sz w:val="32"/>
          <w:szCs w:val="32"/>
          <w:lang w:val="en-US" w:eastAsia="zh-CN"/>
        </w:rPr>
      </w:pPr>
      <w:r>
        <w:rPr>
          <w:rFonts w:hint="eastAsia" w:ascii="仿宋_GB2312" w:eastAsia="仿宋_GB2312"/>
          <w:b/>
          <w:bCs/>
          <w:color w:val="000000"/>
          <w:kern w:val="0"/>
          <w:sz w:val="32"/>
          <w:szCs w:val="32"/>
          <w:lang w:eastAsia="zh-CN"/>
        </w:rPr>
        <w:t>（</w:t>
      </w:r>
      <w:r>
        <w:rPr>
          <w:rFonts w:hint="eastAsia" w:ascii="仿宋_GB2312" w:eastAsia="仿宋_GB2312"/>
          <w:b/>
          <w:bCs/>
          <w:color w:val="000000"/>
          <w:kern w:val="0"/>
          <w:sz w:val="32"/>
          <w:szCs w:val="32"/>
          <w:lang w:val="en-US" w:eastAsia="zh-CN"/>
        </w:rPr>
        <w:t>21</w:t>
      </w:r>
      <w:r>
        <w:rPr>
          <w:rFonts w:hint="eastAsia" w:ascii="仿宋_GB2312" w:eastAsia="仿宋_GB2312"/>
          <w:b/>
          <w:bCs/>
          <w:color w:val="000000"/>
          <w:kern w:val="0"/>
          <w:sz w:val="32"/>
          <w:szCs w:val="32"/>
          <w:lang w:eastAsia="zh-CN"/>
        </w:rPr>
        <w:t>）</w:t>
      </w:r>
      <w:r>
        <w:rPr>
          <w:rFonts w:hint="eastAsia" w:ascii="仿宋_GB2312" w:eastAsia="仿宋_GB2312"/>
          <w:b/>
          <w:bCs/>
          <w:color w:val="000000"/>
          <w:kern w:val="0"/>
          <w:sz w:val="32"/>
          <w:szCs w:val="32"/>
        </w:rPr>
        <w:t>节能环保支出</w:t>
      </w:r>
      <w:r>
        <w:rPr>
          <w:rFonts w:hint="eastAsia" w:ascii="仿宋_GB2312" w:eastAsia="仿宋_GB2312"/>
          <w:b/>
          <w:bCs/>
          <w:color w:val="000000"/>
          <w:kern w:val="0"/>
          <w:sz w:val="32"/>
          <w:szCs w:val="32"/>
          <w:lang w:val="en-US" w:eastAsia="zh-CN"/>
        </w:rPr>
        <w:t>（类）环境监测与监察（款）建设项目环评审查与监督（项）。</w:t>
      </w:r>
      <w:r>
        <w:rPr>
          <w:rFonts w:hint="eastAsia" w:ascii="仿宋_GB2312" w:eastAsia="仿宋_GB2312"/>
          <w:b w:val="0"/>
          <w:bCs w:val="0"/>
          <w:color w:val="000000"/>
          <w:kern w:val="0"/>
          <w:sz w:val="32"/>
          <w:szCs w:val="32"/>
          <w:lang w:val="en-US" w:eastAsia="zh-CN"/>
        </w:rPr>
        <w:t>上年结转42.78万元，本年预算64.76万元，本年支出107.18万元，预算执行率99.57%。</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0" w:rightChars="0" w:firstLine="640" w:firstLineChars="200"/>
        <w:jc w:val="left"/>
        <w:textAlignment w:val="auto"/>
        <w:outlineLvl w:val="9"/>
        <w:rPr>
          <w:rFonts w:hint="eastAsia" w:ascii="仿宋_GB2312" w:eastAsia="仿宋_GB2312"/>
          <w:b w:val="0"/>
          <w:bCs w:val="0"/>
          <w:color w:val="FF0000"/>
          <w:kern w:val="0"/>
          <w:sz w:val="32"/>
          <w:szCs w:val="32"/>
          <w:lang w:val="en-US" w:eastAsia="zh-CN"/>
        </w:rPr>
      </w:pPr>
      <w:r>
        <w:rPr>
          <w:rFonts w:hint="eastAsia" w:ascii="仿宋_GB2312" w:eastAsia="仿宋_GB2312"/>
          <w:b/>
          <w:bCs/>
          <w:color w:val="000000"/>
          <w:kern w:val="0"/>
          <w:sz w:val="32"/>
          <w:szCs w:val="32"/>
          <w:lang w:eastAsia="zh-CN"/>
        </w:rPr>
        <w:t>（</w:t>
      </w:r>
      <w:r>
        <w:rPr>
          <w:rFonts w:hint="eastAsia" w:ascii="仿宋_GB2312" w:eastAsia="仿宋_GB2312"/>
          <w:b/>
          <w:bCs/>
          <w:color w:val="000000"/>
          <w:kern w:val="0"/>
          <w:sz w:val="32"/>
          <w:szCs w:val="32"/>
          <w:lang w:val="en-US" w:eastAsia="zh-CN"/>
        </w:rPr>
        <w:t>22</w:t>
      </w:r>
      <w:r>
        <w:rPr>
          <w:rFonts w:hint="eastAsia" w:ascii="仿宋_GB2312" w:eastAsia="仿宋_GB2312"/>
          <w:b/>
          <w:bCs/>
          <w:color w:val="000000"/>
          <w:kern w:val="0"/>
          <w:sz w:val="32"/>
          <w:szCs w:val="32"/>
          <w:lang w:eastAsia="zh-CN"/>
        </w:rPr>
        <w:t>）</w:t>
      </w:r>
      <w:r>
        <w:rPr>
          <w:rFonts w:hint="eastAsia" w:ascii="仿宋_GB2312" w:eastAsia="仿宋_GB2312"/>
          <w:b/>
          <w:bCs/>
          <w:color w:val="000000"/>
          <w:kern w:val="0"/>
          <w:sz w:val="32"/>
          <w:szCs w:val="32"/>
        </w:rPr>
        <w:t>节能环保支出</w:t>
      </w:r>
      <w:r>
        <w:rPr>
          <w:rFonts w:hint="eastAsia" w:ascii="仿宋_GB2312" w:eastAsia="仿宋_GB2312"/>
          <w:b/>
          <w:bCs/>
          <w:color w:val="000000"/>
          <w:kern w:val="0"/>
          <w:sz w:val="32"/>
          <w:szCs w:val="32"/>
          <w:lang w:val="en-US" w:eastAsia="zh-CN"/>
        </w:rPr>
        <w:t>（类）环境监测与监察（款）核与辐射安全监督（项）。</w:t>
      </w:r>
      <w:r>
        <w:rPr>
          <w:rFonts w:hint="eastAsia" w:ascii="仿宋_GB2312" w:eastAsia="仿宋_GB2312"/>
          <w:b w:val="0"/>
          <w:bCs w:val="0"/>
          <w:color w:val="000000"/>
          <w:kern w:val="0"/>
          <w:sz w:val="32"/>
          <w:szCs w:val="32"/>
          <w:lang w:val="en-US" w:eastAsia="zh-CN"/>
        </w:rPr>
        <w:t>上年结转226.95万元，本年预算47.9万元，本年支出274.85万元，预算执行率100%。</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0" w:rightChars="0" w:firstLine="640" w:firstLineChars="200"/>
        <w:jc w:val="left"/>
        <w:textAlignment w:val="auto"/>
        <w:outlineLvl w:val="9"/>
        <w:rPr>
          <w:rFonts w:hint="eastAsia" w:ascii="仿宋_GB2312" w:eastAsia="仿宋_GB2312"/>
          <w:b w:val="0"/>
          <w:bCs w:val="0"/>
          <w:color w:val="000000"/>
          <w:kern w:val="0"/>
          <w:sz w:val="32"/>
          <w:szCs w:val="32"/>
          <w:lang w:val="en-US" w:eastAsia="zh-CN"/>
        </w:rPr>
      </w:pPr>
      <w:r>
        <w:rPr>
          <w:rFonts w:hint="eastAsia" w:ascii="仿宋_GB2312" w:eastAsia="仿宋_GB2312"/>
          <w:b/>
          <w:bCs/>
          <w:color w:val="000000"/>
          <w:kern w:val="0"/>
          <w:sz w:val="32"/>
          <w:szCs w:val="32"/>
          <w:lang w:eastAsia="zh-CN"/>
        </w:rPr>
        <w:t>（</w:t>
      </w:r>
      <w:r>
        <w:rPr>
          <w:rFonts w:hint="eastAsia" w:ascii="仿宋_GB2312" w:eastAsia="仿宋_GB2312"/>
          <w:b/>
          <w:bCs/>
          <w:color w:val="000000"/>
          <w:kern w:val="0"/>
          <w:sz w:val="32"/>
          <w:szCs w:val="32"/>
          <w:lang w:val="en-US" w:eastAsia="zh-CN"/>
        </w:rPr>
        <w:t>23</w:t>
      </w:r>
      <w:r>
        <w:rPr>
          <w:rFonts w:hint="eastAsia" w:ascii="仿宋_GB2312" w:eastAsia="仿宋_GB2312"/>
          <w:b/>
          <w:bCs/>
          <w:color w:val="000000"/>
          <w:kern w:val="0"/>
          <w:sz w:val="32"/>
          <w:szCs w:val="32"/>
          <w:lang w:eastAsia="zh-CN"/>
        </w:rPr>
        <w:t>）</w:t>
      </w:r>
      <w:r>
        <w:rPr>
          <w:rFonts w:hint="eastAsia" w:ascii="仿宋_GB2312" w:eastAsia="仿宋_GB2312"/>
          <w:b/>
          <w:bCs/>
          <w:color w:val="000000"/>
          <w:kern w:val="0"/>
          <w:sz w:val="32"/>
          <w:szCs w:val="32"/>
        </w:rPr>
        <w:t>节能环保支出</w:t>
      </w:r>
      <w:r>
        <w:rPr>
          <w:rFonts w:hint="eastAsia" w:ascii="仿宋_GB2312" w:eastAsia="仿宋_GB2312"/>
          <w:b/>
          <w:bCs/>
          <w:color w:val="000000"/>
          <w:kern w:val="0"/>
          <w:sz w:val="32"/>
          <w:szCs w:val="32"/>
          <w:lang w:val="en-US" w:eastAsia="zh-CN"/>
        </w:rPr>
        <w:t>（类）环境监测与监察（款）其他环境监测与监察支出（项）。</w:t>
      </w:r>
      <w:r>
        <w:rPr>
          <w:rFonts w:hint="eastAsia" w:ascii="仿宋_GB2312" w:eastAsia="仿宋_GB2312"/>
          <w:b w:val="0"/>
          <w:bCs w:val="0"/>
          <w:color w:val="000000"/>
          <w:kern w:val="0"/>
          <w:sz w:val="32"/>
          <w:szCs w:val="32"/>
          <w:lang w:val="en-US" w:eastAsia="zh-CN"/>
        </w:rPr>
        <w:t>本年预算11728.56万元，本年支出1627.52万元，预算执行率13.88%。</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0" w:rightChars="0" w:firstLine="640" w:firstLineChars="200"/>
        <w:jc w:val="left"/>
        <w:textAlignment w:val="auto"/>
        <w:outlineLvl w:val="9"/>
        <w:rPr>
          <w:rFonts w:hint="eastAsia" w:ascii="仿宋_GB2312" w:eastAsia="仿宋_GB2312"/>
          <w:b w:val="0"/>
          <w:bCs w:val="0"/>
          <w:color w:val="000000"/>
          <w:kern w:val="0"/>
          <w:sz w:val="32"/>
          <w:szCs w:val="32"/>
          <w:lang w:val="en-US" w:eastAsia="zh-CN"/>
        </w:rPr>
      </w:pPr>
      <w:r>
        <w:rPr>
          <w:rFonts w:hint="eastAsia" w:ascii="仿宋_GB2312" w:eastAsia="仿宋_GB2312"/>
          <w:b/>
          <w:bCs/>
          <w:color w:val="000000"/>
          <w:kern w:val="0"/>
          <w:sz w:val="32"/>
          <w:szCs w:val="32"/>
          <w:lang w:eastAsia="zh-CN"/>
        </w:rPr>
        <w:t>（</w:t>
      </w:r>
      <w:r>
        <w:rPr>
          <w:rFonts w:hint="eastAsia" w:ascii="仿宋_GB2312" w:eastAsia="仿宋_GB2312"/>
          <w:b/>
          <w:bCs/>
          <w:color w:val="000000"/>
          <w:kern w:val="0"/>
          <w:sz w:val="32"/>
          <w:szCs w:val="32"/>
          <w:lang w:val="en-US" w:eastAsia="zh-CN"/>
        </w:rPr>
        <w:t>24</w:t>
      </w:r>
      <w:r>
        <w:rPr>
          <w:rFonts w:hint="eastAsia" w:ascii="仿宋_GB2312" w:eastAsia="仿宋_GB2312"/>
          <w:b/>
          <w:bCs/>
          <w:color w:val="000000"/>
          <w:kern w:val="0"/>
          <w:sz w:val="32"/>
          <w:szCs w:val="32"/>
          <w:lang w:eastAsia="zh-CN"/>
        </w:rPr>
        <w:t>）</w:t>
      </w:r>
      <w:r>
        <w:rPr>
          <w:rFonts w:hint="eastAsia" w:ascii="仿宋_GB2312" w:eastAsia="仿宋_GB2312"/>
          <w:b/>
          <w:bCs/>
          <w:color w:val="000000"/>
          <w:kern w:val="0"/>
          <w:sz w:val="32"/>
          <w:szCs w:val="32"/>
        </w:rPr>
        <w:t>节能环保支出</w:t>
      </w:r>
      <w:r>
        <w:rPr>
          <w:rFonts w:hint="eastAsia" w:ascii="仿宋_GB2312" w:eastAsia="仿宋_GB2312"/>
          <w:b/>
          <w:bCs/>
          <w:color w:val="000000"/>
          <w:kern w:val="0"/>
          <w:sz w:val="32"/>
          <w:szCs w:val="32"/>
          <w:lang w:val="en-US" w:eastAsia="zh-CN"/>
        </w:rPr>
        <w:t>（类）污染防治（款）大气（项）。</w:t>
      </w:r>
      <w:r>
        <w:rPr>
          <w:rFonts w:hint="eastAsia" w:ascii="仿宋_GB2312" w:eastAsia="仿宋_GB2312"/>
          <w:b w:val="0"/>
          <w:bCs w:val="0"/>
          <w:color w:val="000000"/>
          <w:kern w:val="0"/>
          <w:sz w:val="32"/>
          <w:szCs w:val="32"/>
          <w:lang w:val="en-US" w:eastAsia="zh-CN"/>
        </w:rPr>
        <w:t>上年结转372.58万元，本年预算5138.3万元，本年支出2055.88万元，预算执行率37.8%。</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0" w:rightChars="0" w:firstLine="640" w:firstLineChars="200"/>
        <w:jc w:val="left"/>
        <w:textAlignment w:val="auto"/>
        <w:outlineLvl w:val="9"/>
        <w:rPr>
          <w:rFonts w:hint="eastAsia" w:ascii="仿宋_GB2312" w:eastAsia="仿宋_GB2312"/>
          <w:b w:val="0"/>
          <w:bCs w:val="0"/>
          <w:color w:val="000000"/>
          <w:kern w:val="0"/>
          <w:sz w:val="32"/>
          <w:szCs w:val="32"/>
          <w:lang w:val="en-US" w:eastAsia="zh-CN"/>
        </w:rPr>
      </w:pPr>
      <w:r>
        <w:rPr>
          <w:rFonts w:hint="eastAsia" w:ascii="仿宋_GB2312" w:eastAsia="仿宋_GB2312"/>
          <w:b/>
          <w:bCs/>
          <w:color w:val="000000"/>
          <w:kern w:val="0"/>
          <w:sz w:val="32"/>
          <w:szCs w:val="32"/>
          <w:lang w:eastAsia="zh-CN"/>
        </w:rPr>
        <w:t>（</w:t>
      </w:r>
      <w:r>
        <w:rPr>
          <w:rFonts w:hint="eastAsia" w:ascii="仿宋_GB2312" w:eastAsia="仿宋_GB2312"/>
          <w:b/>
          <w:bCs/>
          <w:color w:val="000000"/>
          <w:kern w:val="0"/>
          <w:sz w:val="32"/>
          <w:szCs w:val="32"/>
          <w:lang w:val="en-US" w:eastAsia="zh-CN"/>
        </w:rPr>
        <w:t>25</w:t>
      </w:r>
      <w:r>
        <w:rPr>
          <w:rFonts w:hint="eastAsia" w:ascii="仿宋_GB2312" w:eastAsia="仿宋_GB2312"/>
          <w:b/>
          <w:bCs/>
          <w:color w:val="000000"/>
          <w:kern w:val="0"/>
          <w:sz w:val="32"/>
          <w:szCs w:val="32"/>
          <w:lang w:eastAsia="zh-CN"/>
        </w:rPr>
        <w:t>）</w:t>
      </w:r>
      <w:r>
        <w:rPr>
          <w:rFonts w:hint="eastAsia" w:ascii="仿宋_GB2312" w:eastAsia="仿宋_GB2312"/>
          <w:b/>
          <w:bCs/>
          <w:color w:val="000000"/>
          <w:kern w:val="0"/>
          <w:sz w:val="32"/>
          <w:szCs w:val="32"/>
        </w:rPr>
        <w:t>节能环保支出</w:t>
      </w:r>
      <w:r>
        <w:rPr>
          <w:rFonts w:hint="eastAsia" w:ascii="仿宋_GB2312" w:eastAsia="仿宋_GB2312"/>
          <w:b/>
          <w:bCs/>
          <w:color w:val="000000"/>
          <w:kern w:val="0"/>
          <w:sz w:val="32"/>
          <w:szCs w:val="32"/>
          <w:lang w:val="en-US" w:eastAsia="zh-CN"/>
        </w:rPr>
        <w:t>（类）污染防治（款）水体（项）。</w:t>
      </w:r>
      <w:r>
        <w:rPr>
          <w:rFonts w:hint="eastAsia" w:ascii="仿宋_GB2312" w:eastAsia="仿宋_GB2312"/>
          <w:b w:val="0"/>
          <w:bCs w:val="0"/>
          <w:color w:val="000000"/>
          <w:kern w:val="0"/>
          <w:sz w:val="32"/>
          <w:szCs w:val="32"/>
          <w:lang w:val="en-US" w:eastAsia="zh-CN"/>
        </w:rPr>
        <w:t>上年结转141.5万元，本年预算16991万元，本年支出66.21万元，预算执行率0.39%。</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0" w:rightChars="0" w:firstLine="640" w:firstLineChars="200"/>
        <w:jc w:val="left"/>
        <w:textAlignment w:val="auto"/>
        <w:outlineLvl w:val="9"/>
        <w:rPr>
          <w:rFonts w:hint="eastAsia" w:ascii="仿宋_GB2312" w:eastAsia="仿宋_GB2312"/>
          <w:b w:val="0"/>
          <w:bCs w:val="0"/>
          <w:color w:val="000000"/>
          <w:kern w:val="0"/>
          <w:sz w:val="32"/>
          <w:szCs w:val="32"/>
          <w:lang w:val="en-US" w:eastAsia="zh-CN"/>
        </w:rPr>
      </w:pPr>
      <w:r>
        <w:rPr>
          <w:rFonts w:hint="eastAsia" w:ascii="仿宋_GB2312" w:eastAsia="仿宋_GB2312"/>
          <w:b/>
          <w:bCs/>
          <w:color w:val="000000"/>
          <w:kern w:val="0"/>
          <w:sz w:val="32"/>
          <w:szCs w:val="32"/>
          <w:lang w:eastAsia="zh-CN"/>
        </w:rPr>
        <w:t>（</w:t>
      </w:r>
      <w:r>
        <w:rPr>
          <w:rFonts w:hint="eastAsia" w:ascii="仿宋_GB2312" w:eastAsia="仿宋_GB2312"/>
          <w:b/>
          <w:bCs/>
          <w:color w:val="000000"/>
          <w:kern w:val="0"/>
          <w:sz w:val="32"/>
          <w:szCs w:val="32"/>
          <w:lang w:val="en-US" w:eastAsia="zh-CN"/>
        </w:rPr>
        <w:t>26</w:t>
      </w:r>
      <w:r>
        <w:rPr>
          <w:rFonts w:hint="eastAsia" w:ascii="仿宋_GB2312" w:eastAsia="仿宋_GB2312"/>
          <w:b/>
          <w:bCs/>
          <w:color w:val="000000"/>
          <w:kern w:val="0"/>
          <w:sz w:val="32"/>
          <w:szCs w:val="32"/>
          <w:lang w:eastAsia="zh-CN"/>
        </w:rPr>
        <w:t>）</w:t>
      </w:r>
      <w:r>
        <w:rPr>
          <w:rFonts w:hint="eastAsia" w:ascii="仿宋_GB2312" w:eastAsia="仿宋_GB2312"/>
          <w:b/>
          <w:bCs/>
          <w:color w:val="000000"/>
          <w:kern w:val="0"/>
          <w:sz w:val="32"/>
          <w:szCs w:val="32"/>
        </w:rPr>
        <w:t>节能环保支出</w:t>
      </w:r>
      <w:r>
        <w:rPr>
          <w:rFonts w:hint="eastAsia" w:ascii="仿宋_GB2312" w:eastAsia="仿宋_GB2312"/>
          <w:b/>
          <w:bCs/>
          <w:color w:val="000000"/>
          <w:kern w:val="0"/>
          <w:sz w:val="32"/>
          <w:szCs w:val="32"/>
          <w:lang w:val="en-US" w:eastAsia="zh-CN"/>
        </w:rPr>
        <w:t>（类）污染防治（款）固体废弃物与化学品（项）。</w:t>
      </w:r>
      <w:r>
        <w:rPr>
          <w:rFonts w:hint="eastAsia" w:ascii="仿宋_GB2312" w:eastAsia="仿宋_GB2312"/>
          <w:b w:val="0"/>
          <w:bCs w:val="0"/>
          <w:color w:val="000000"/>
          <w:kern w:val="0"/>
          <w:sz w:val="32"/>
          <w:szCs w:val="32"/>
          <w:lang w:val="en-US" w:eastAsia="zh-CN"/>
        </w:rPr>
        <w:t>本年预算80万元，本年支出80万元，预算执行率100%。</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0" w:rightChars="0" w:firstLine="640" w:firstLineChars="200"/>
        <w:jc w:val="left"/>
        <w:textAlignment w:val="auto"/>
        <w:outlineLvl w:val="9"/>
        <w:rPr>
          <w:rFonts w:hint="eastAsia" w:ascii="仿宋_GB2312" w:eastAsia="仿宋_GB2312"/>
          <w:b w:val="0"/>
          <w:bCs w:val="0"/>
          <w:color w:val="000000"/>
          <w:kern w:val="0"/>
          <w:sz w:val="32"/>
          <w:szCs w:val="32"/>
          <w:lang w:val="en-US" w:eastAsia="zh-CN"/>
        </w:rPr>
      </w:pPr>
      <w:r>
        <w:rPr>
          <w:rFonts w:hint="eastAsia" w:ascii="仿宋_GB2312" w:eastAsia="仿宋_GB2312"/>
          <w:b/>
          <w:bCs/>
          <w:color w:val="000000"/>
          <w:kern w:val="0"/>
          <w:sz w:val="32"/>
          <w:szCs w:val="32"/>
          <w:lang w:eastAsia="zh-CN"/>
        </w:rPr>
        <w:t>（</w:t>
      </w:r>
      <w:r>
        <w:rPr>
          <w:rFonts w:hint="eastAsia" w:ascii="仿宋_GB2312" w:eastAsia="仿宋_GB2312"/>
          <w:b/>
          <w:bCs/>
          <w:color w:val="000000"/>
          <w:kern w:val="0"/>
          <w:sz w:val="32"/>
          <w:szCs w:val="32"/>
          <w:lang w:val="en-US" w:eastAsia="zh-CN"/>
        </w:rPr>
        <w:t>27</w:t>
      </w:r>
      <w:r>
        <w:rPr>
          <w:rFonts w:hint="eastAsia" w:ascii="仿宋_GB2312" w:eastAsia="仿宋_GB2312"/>
          <w:b/>
          <w:bCs/>
          <w:color w:val="000000"/>
          <w:kern w:val="0"/>
          <w:sz w:val="32"/>
          <w:szCs w:val="32"/>
          <w:lang w:eastAsia="zh-CN"/>
        </w:rPr>
        <w:t>）</w:t>
      </w:r>
      <w:r>
        <w:rPr>
          <w:rFonts w:hint="eastAsia" w:ascii="仿宋_GB2312" w:eastAsia="仿宋_GB2312"/>
          <w:b/>
          <w:bCs/>
          <w:color w:val="000000"/>
          <w:kern w:val="0"/>
          <w:sz w:val="32"/>
          <w:szCs w:val="32"/>
        </w:rPr>
        <w:t>节能环保支出</w:t>
      </w:r>
      <w:r>
        <w:rPr>
          <w:rFonts w:hint="eastAsia" w:ascii="仿宋_GB2312" w:eastAsia="仿宋_GB2312"/>
          <w:b/>
          <w:bCs/>
          <w:color w:val="000000"/>
          <w:kern w:val="0"/>
          <w:sz w:val="32"/>
          <w:szCs w:val="32"/>
          <w:lang w:val="en-US" w:eastAsia="zh-CN"/>
        </w:rPr>
        <w:t>（类）污染防治（款）放射源和放射性废物监管（项）。</w:t>
      </w:r>
      <w:r>
        <w:rPr>
          <w:rFonts w:hint="eastAsia" w:ascii="仿宋_GB2312" w:eastAsia="仿宋_GB2312"/>
          <w:b w:val="0"/>
          <w:bCs w:val="0"/>
          <w:color w:val="000000"/>
          <w:kern w:val="0"/>
          <w:sz w:val="32"/>
          <w:szCs w:val="32"/>
          <w:lang w:val="en-US" w:eastAsia="zh-CN"/>
        </w:rPr>
        <w:t>上年结转5.74万元，本年预算179.48万元，本年支出104.6万元，预算执行率56.54%。</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0" w:rightChars="0" w:firstLine="640" w:firstLineChars="200"/>
        <w:jc w:val="left"/>
        <w:textAlignment w:val="auto"/>
        <w:outlineLvl w:val="9"/>
        <w:rPr>
          <w:rFonts w:hint="eastAsia" w:ascii="仿宋_GB2312" w:eastAsia="仿宋_GB2312"/>
          <w:b w:val="0"/>
          <w:bCs w:val="0"/>
          <w:color w:val="000000"/>
          <w:kern w:val="0"/>
          <w:sz w:val="32"/>
          <w:szCs w:val="32"/>
          <w:lang w:val="en-US" w:eastAsia="zh-CN"/>
        </w:rPr>
      </w:pPr>
      <w:r>
        <w:rPr>
          <w:rFonts w:hint="eastAsia" w:ascii="仿宋_GB2312" w:eastAsia="仿宋_GB2312"/>
          <w:b/>
          <w:bCs/>
          <w:color w:val="000000"/>
          <w:kern w:val="0"/>
          <w:sz w:val="32"/>
          <w:szCs w:val="32"/>
          <w:lang w:eastAsia="zh-CN"/>
        </w:rPr>
        <w:t>（</w:t>
      </w:r>
      <w:r>
        <w:rPr>
          <w:rFonts w:hint="eastAsia" w:ascii="仿宋_GB2312" w:eastAsia="仿宋_GB2312"/>
          <w:b/>
          <w:bCs/>
          <w:color w:val="000000"/>
          <w:kern w:val="0"/>
          <w:sz w:val="32"/>
          <w:szCs w:val="32"/>
          <w:lang w:val="en-US" w:eastAsia="zh-CN"/>
        </w:rPr>
        <w:t>28</w:t>
      </w:r>
      <w:r>
        <w:rPr>
          <w:rFonts w:hint="eastAsia" w:ascii="仿宋_GB2312" w:eastAsia="仿宋_GB2312"/>
          <w:b/>
          <w:bCs/>
          <w:color w:val="000000"/>
          <w:kern w:val="0"/>
          <w:sz w:val="32"/>
          <w:szCs w:val="32"/>
          <w:lang w:eastAsia="zh-CN"/>
        </w:rPr>
        <w:t>）</w:t>
      </w:r>
      <w:r>
        <w:rPr>
          <w:rFonts w:hint="eastAsia" w:ascii="仿宋_GB2312" w:eastAsia="仿宋_GB2312"/>
          <w:b/>
          <w:bCs/>
          <w:color w:val="000000"/>
          <w:kern w:val="0"/>
          <w:sz w:val="32"/>
          <w:szCs w:val="32"/>
        </w:rPr>
        <w:t>节能环保支出</w:t>
      </w:r>
      <w:r>
        <w:rPr>
          <w:rFonts w:hint="eastAsia" w:ascii="仿宋_GB2312" w:eastAsia="仿宋_GB2312"/>
          <w:b/>
          <w:bCs/>
          <w:color w:val="000000"/>
          <w:kern w:val="0"/>
          <w:sz w:val="32"/>
          <w:szCs w:val="32"/>
          <w:lang w:val="en-US" w:eastAsia="zh-CN"/>
        </w:rPr>
        <w:t>（类）污染防治（款）辐射（项）。</w:t>
      </w:r>
      <w:r>
        <w:rPr>
          <w:rFonts w:hint="eastAsia" w:ascii="仿宋_GB2312" w:eastAsia="仿宋_GB2312"/>
          <w:b w:val="0"/>
          <w:bCs w:val="0"/>
          <w:color w:val="000000"/>
          <w:kern w:val="0"/>
          <w:sz w:val="32"/>
          <w:szCs w:val="32"/>
          <w:lang w:val="en-US" w:eastAsia="zh-CN"/>
        </w:rPr>
        <w:t>上年结转743.37万元，本年预算200万元，本年支出802.71万元，预算执行率85.1%。</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0" w:rightChars="0" w:firstLine="640" w:firstLineChars="200"/>
        <w:jc w:val="left"/>
        <w:textAlignment w:val="auto"/>
        <w:outlineLvl w:val="9"/>
        <w:rPr>
          <w:rFonts w:hint="eastAsia" w:ascii="仿宋_GB2312" w:eastAsia="仿宋_GB2312"/>
          <w:b w:val="0"/>
          <w:bCs w:val="0"/>
          <w:color w:val="000000"/>
          <w:kern w:val="0"/>
          <w:sz w:val="32"/>
          <w:szCs w:val="32"/>
          <w:lang w:val="en-US" w:eastAsia="zh-CN"/>
        </w:rPr>
      </w:pPr>
      <w:r>
        <w:rPr>
          <w:rFonts w:hint="eastAsia" w:ascii="仿宋_GB2312" w:eastAsia="仿宋_GB2312"/>
          <w:b/>
          <w:bCs/>
          <w:color w:val="000000"/>
          <w:kern w:val="0"/>
          <w:sz w:val="32"/>
          <w:szCs w:val="32"/>
          <w:lang w:eastAsia="zh-CN"/>
        </w:rPr>
        <w:t>（</w:t>
      </w:r>
      <w:r>
        <w:rPr>
          <w:rFonts w:hint="eastAsia" w:ascii="仿宋_GB2312" w:eastAsia="仿宋_GB2312"/>
          <w:b/>
          <w:bCs/>
          <w:color w:val="000000"/>
          <w:kern w:val="0"/>
          <w:sz w:val="32"/>
          <w:szCs w:val="32"/>
          <w:lang w:val="en-US" w:eastAsia="zh-CN"/>
        </w:rPr>
        <w:t>29</w:t>
      </w:r>
      <w:r>
        <w:rPr>
          <w:rFonts w:hint="eastAsia" w:ascii="仿宋_GB2312" w:eastAsia="仿宋_GB2312"/>
          <w:b/>
          <w:bCs/>
          <w:color w:val="000000"/>
          <w:kern w:val="0"/>
          <w:sz w:val="32"/>
          <w:szCs w:val="32"/>
          <w:lang w:eastAsia="zh-CN"/>
        </w:rPr>
        <w:t>）</w:t>
      </w:r>
      <w:r>
        <w:rPr>
          <w:rFonts w:hint="eastAsia" w:ascii="仿宋_GB2312" w:eastAsia="仿宋_GB2312"/>
          <w:b/>
          <w:bCs/>
          <w:color w:val="000000"/>
          <w:kern w:val="0"/>
          <w:sz w:val="32"/>
          <w:szCs w:val="32"/>
        </w:rPr>
        <w:t>节能环保支出</w:t>
      </w:r>
      <w:r>
        <w:rPr>
          <w:rFonts w:hint="eastAsia" w:ascii="仿宋_GB2312" w:eastAsia="仿宋_GB2312"/>
          <w:b/>
          <w:bCs/>
          <w:color w:val="000000"/>
          <w:kern w:val="0"/>
          <w:sz w:val="32"/>
          <w:szCs w:val="32"/>
          <w:lang w:val="en-US" w:eastAsia="zh-CN"/>
        </w:rPr>
        <w:t>（类）污染防治（款）其他污染防治支出（项）。</w:t>
      </w:r>
      <w:r>
        <w:rPr>
          <w:rFonts w:hint="eastAsia" w:ascii="仿宋_GB2312" w:eastAsia="仿宋_GB2312"/>
          <w:b w:val="0"/>
          <w:bCs w:val="0"/>
          <w:color w:val="000000"/>
          <w:kern w:val="0"/>
          <w:sz w:val="32"/>
          <w:szCs w:val="32"/>
          <w:lang w:val="en-US" w:eastAsia="zh-CN"/>
        </w:rPr>
        <w:t>上年结转2264.37万元，本年预算9722.45万元，本年支出3856.85万元，预算执行率32.18%。</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0" w:rightChars="0" w:firstLine="640" w:firstLineChars="200"/>
        <w:jc w:val="left"/>
        <w:textAlignment w:val="auto"/>
        <w:outlineLvl w:val="9"/>
        <w:rPr>
          <w:rFonts w:hint="eastAsia" w:ascii="仿宋_GB2312" w:eastAsia="仿宋_GB2312"/>
          <w:b w:val="0"/>
          <w:bCs w:val="0"/>
          <w:color w:val="000000"/>
          <w:kern w:val="0"/>
          <w:sz w:val="32"/>
          <w:szCs w:val="32"/>
          <w:lang w:val="en-US" w:eastAsia="zh-CN"/>
        </w:rPr>
      </w:pPr>
      <w:r>
        <w:rPr>
          <w:rFonts w:hint="eastAsia" w:ascii="仿宋_GB2312" w:eastAsia="仿宋_GB2312"/>
          <w:b/>
          <w:bCs/>
          <w:color w:val="000000"/>
          <w:kern w:val="0"/>
          <w:sz w:val="32"/>
          <w:szCs w:val="32"/>
          <w:lang w:eastAsia="zh-CN"/>
        </w:rPr>
        <w:t>（</w:t>
      </w:r>
      <w:r>
        <w:rPr>
          <w:rFonts w:hint="eastAsia" w:ascii="仿宋_GB2312" w:eastAsia="仿宋_GB2312"/>
          <w:b/>
          <w:bCs/>
          <w:color w:val="000000"/>
          <w:kern w:val="0"/>
          <w:sz w:val="32"/>
          <w:szCs w:val="32"/>
          <w:lang w:val="en-US" w:eastAsia="zh-CN"/>
        </w:rPr>
        <w:t>30</w:t>
      </w:r>
      <w:r>
        <w:rPr>
          <w:rFonts w:hint="eastAsia" w:ascii="仿宋_GB2312" w:eastAsia="仿宋_GB2312"/>
          <w:b/>
          <w:bCs/>
          <w:color w:val="000000"/>
          <w:kern w:val="0"/>
          <w:sz w:val="32"/>
          <w:szCs w:val="32"/>
          <w:lang w:eastAsia="zh-CN"/>
        </w:rPr>
        <w:t>）</w:t>
      </w:r>
      <w:r>
        <w:rPr>
          <w:rFonts w:hint="eastAsia" w:ascii="仿宋_GB2312" w:eastAsia="仿宋_GB2312"/>
          <w:b/>
          <w:bCs/>
          <w:color w:val="000000"/>
          <w:kern w:val="0"/>
          <w:sz w:val="32"/>
          <w:szCs w:val="32"/>
        </w:rPr>
        <w:t>节能环保支出</w:t>
      </w:r>
      <w:r>
        <w:rPr>
          <w:rFonts w:hint="eastAsia" w:ascii="仿宋_GB2312" w:eastAsia="仿宋_GB2312"/>
          <w:b/>
          <w:bCs/>
          <w:color w:val="000000"/>
          <w:kern w:val="0"/>
          <w:sz w:val="32"/>
          <w:szCs w:val="32"/>
          <w:lang w:val="en-US" w:eastAsia="zh-CN"/>
        </w:rPr>
        <w:t>（类）自然生态保护（款）农村生态保护（项）。</w:t>
      </w:r>
      <w:r>
        <w:rPr>
          <w:rFonts w:hint="eastAsia" w:ascii="仿宋_GB2312" w:eastAsia="仿宋_GB2312"/>
          <w:b w:val="0"/>
          <w:bCs w:val="0"/>
          <w:color w:val="000000"/>
          <w:kern w:val="0"/>
          <w:sz w:val="32"/>
          <w:szCs w:val="32"/>
          <w:lang w:val="en-US" w:eastAsia="zh-CN"/>
        </w:rPr>
        <w:t>上年结转25万元，本年预算175万元。</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0" w:rightChars="0" w:firstLine="640" w:firstLineChars="200"/>
        <w:jc w:val="left"/>
        <w:textAlignment w:val="auto"/>
        <w:outlineLvl w:val="9"/>
        <w:rPr>
          <w:rFonts w:hint="eastAsia" w:ascii="仿宋_GB2312" w:eastAsia="仿宋_GB2312"/>
          <w:b w:val="0"/>
          <w:bCs w:val="0"/>
          <w:color w:val="000000"/>
          <w:kern w:val="0"/>
          <w:sz w:val="32"/>
          <w:szCs w:val="32"/>
          <w:lang w:val="en-US" w:eastAsia="zh-CN"/>
        </w:rPr>
      </w:pPr>
      <w:r>
        <w:rPr>
          <w:rFonts w:hint="eastAsia" w:ascii="仿宋_GB2312" w:eastAsia="仿宋_GB2312"/>
          <w:b/>
          <w:bCs/>
          <w:color w:val="000000"/>
          <w:kern w:val="0"/>
          <w:sz w:val="32"/>
          <w:szCs w:val="32"/>
          <w:lang w:eastAsia="zh-CN"/>
        </w:rPr>
        <w:t>（</w:t>
      </w:r>
      <w:r>
        <w:rPr>
          <w:rFonts w:hint="eastAsia" w:ascii="仿宋_GB2312" w:eastAsia="仿宋_GB2312"/>
          <w:b/>
          <w:bCs/>
          <w:color w:val="000000"/>
          <w:kern w:val="0"/>
          <w:sz w:val="32"/>
          <w:szCs w:val="32"/>
          <w:lang w:val="en-US" w:eastAsia="zh-CN"/>
        </w:rPr>
        <w:t>31</w:t>
      </w:r>
      <w:r>
        <w:rPr>
          <w:rFonts w:hint="eastAsia" w:ascii="仿宋_GB2312" w:eastAsia="仿宋_GB2312"/>
          <w:b/>
          <w:bCs/>
          <w:color w:val="000000"/>
          <w:kern w:val="0"/>
          <w:sz w:val="32"/>
          <w:szCs w:val="32"/>
          <w:lang w:eastAsia="zh-CN"/>
        </w:rPr>
        <w:t>）</w:t>
      </w:r>
      <w:r>
        <w:rPr>
          <w:rFonts w:hint="eastAsia" w:ascii="仿宋_GB2312" w:eastAsia="仿宋_GB2312"/>
          <w:b/>
          <w:bCs/>
          <w:color w:val="000000"/>
          <w:kern w:val="0"/>
          <w:sz w:val="32"/>
          <w:szCs w:val="32"/>
        </w:rPr>
        <w:t>节能环保支出</w:t>
      </w:r>
      <w:r>
        <w:rPr>
          <w:rFonts w:hint="eastAsia" w:ascii="仿宋_GB2312" w:eastAsia="仿宋_GB2312"/>
          <w:b/>
          <w:bCs/>
          <w:color w:val="000000"/>
          <w:kern w:val="0"/>
          <w:sz w:val="32"/>
          <w:szCs w:val="32"/>
          <w:lang w:val="en-US" w:eastAsia="zh-CN"/>
        </w:rPr>
        <w:t>（类）污染减排（款）生态环境监测与信息（项）。</w:t>
      </w:r>
      <w:r>
        <w:rPr>
          <w:rFonts w:hint="eastAsia" w:ascii="仿宋_GB2312" w:eastAsia="仿宋_GB2312"/>
          <w:b w:val="0"/>
          <w:bCs w:val="0"/>
          <w:color w:val="000000"/>
          <w:kern w:val="0"/>
          <w:sz w:val="32"/>
          <w:szCs w:val="32"/>
          <w:lang w:val="en-US" w:eastAsia="zh-CN"/>
        </w:rPr>
        <w:t>上年结转776.22万元，本年预算15258.97万元，本年支出10543.54万元，预算执行率65.9%。</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0" w:rightChars="0" w:firstLine="640" w:firstLineChars="200"/>
        <w:jc w:val="left"/>
        <w:textAlignment w:val="auto"/>
        <w:outlineLvl w:val="9"/>
        <w:rPr>
          <w:rFonts w:hint="eastAsia" w:ascii="仿宋_GB2312" w:eastAsia="仿宋_GB2312"/>
          <w:b w:val="0"/>
          <w:bCs w:val="0"/>
          <w:color w:val="000000"/>
          <w:kern w:val="0"/>
          <w:sz w:val="32"/>
          <w:szCs w:val="32"/>
          <w:lang w:val="en-US" w:eastAsia="zh-CN"/>
        </w:rPr>
      </w:pPr>
      <w:r>
        <w:rPr>
          <w:rFonts w:hint="eastAsia" w:ascii="仿宋_GB2312" w:eastAsia="仿宋_GB2312"/>
          <w:b/>
          <w:bCs/>
          <w:color w:val="000000"/>
          <w:kern w:val="0"/>
          <w:sz w:val="32"/>
          <w:szCs w:val="32"/>
          <w:lang w:eastAsia="zh-CN"/>
        </w:rPr>
        <w:t>（</w:t>
      </w:r>
      <w:r>
        <w:rPr>
          <w:rFonts w:hint="eastAsia" w:ascii="仿宋_GB2312" w:eastAsia="仿宋_GB2312"/>
          <w:b/>
          <w:bCs/>
          <w:color w:val="000000"/>
          <w:kern w:val="0"/>
          <w:sz w:val="32"/>
          <w:szCs w:val="32"/>
          <w:lang w:val="en-US" w:eastAsia="zh-CN"/>
        </w:rPr>
        <w:t>32</w:t>
      </w:r>
      <w:r>
        <w:rPr>
          <w:rFonts w:hint="eastAsia" w:ascii="仿宋_GB2312" w:eastAsia="仿宋_GB2312"/>
          <w:b/>
          <w:bCs/>
          <w:color w:val="000000"/>
          <w:kern w:val="0"/>
          <w:sz w:val="32"/>
          <w:szCs w:val="32"/>
          <w:lang w:eastAsia="zh-CN"/>
        </w:rPr>
        <w:t>）</w:t>
      </w:r>
      <w:r>
        <w:rPr>
          <w:rFonts w:hint="eastAsia" w:ascii="仿宋_GB2312" w:eastAsia="仿宋_GB2312"/>
          <w:b/>
          <w:bCs/>
          <w:color w:val="000000"/>
          <w:kern w:val="0"/>
          <w:sz w:val="32"/>
          <w:szCs w:val="32"/>
        </w:rPr>
        <w:t>节能环保支出</w:t>
      </w:r>
      <w:r>
        <w:rPr>
          <w:rFonts w:hint="eastAsia" w:ascii="仿宋_GB2312" w:eastAsia="仿宋_GB2312"/>
          <w:b/>
          <w:bCs/>
          <w:color w:val="000000"/>
          <w:kern w:val="0"/>
          <w:sz w:val="32"/>
          <w:szCs w:val="32"/>
          <w:lang w:val="en-US" w:eastAsia="zh-CN"/>
        </w:rPr>
        <w:t>（类）污染减排（款）其他污染减排支出（项）。</w:t>
      </w:r>
      <w:r>
        <w:rPr>
          <w:rFonts w:hint="eastAsia" w:ascii="仿宋_GB2312" w:eastAsia="仿宋_GB2312"/>
          <w:b w:val="0"/>
          <w:bCs w:val="0"/>
          <w:color w:val="000000"/>
          <w:kern w:val="0"/>
          <w:sz w:val="32"/>
          <w:szCs w:val="32"/>
          <w:lang w:val="en-US" w:eastAsia="zh-CN"/>
        </w:rPr>
        <w:t>上年结转56.38万元，本年预算74.2万元，本年支出130.58万元，预算执行率100%。</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0" w:rightChars="0" w:firstLine="640" w:firstLineChars="200"/>
        <w:jc w:val="left"/>
        <w:textAlignment w:val="auto"/>
        <w:outlineLvl w:val="9"/>
        <w:rPr>
          <w:rFonts w:hint="eastAsia" w:ascii="仿宋_GB2312" w:eastAsia="仿宋_GB2312"/>
          <w:b w:val="0"/>
          <w:bCs w:val="0"/>
          <w:color w:val="000000"/>
          <w:kern w:val="0"/>
          <w:sz w:val="32"/>
          <w:szCs w:val="32"/>
          <w:lang w:val="en-US" w:eastAsia="zh-CN"/>
        </w:rPr>
      </w:pPr>
      <w:r>
        <w:rPr>
          <w:rFonts w:hint="eastAsia" w:ascii="仿宋_GB2312" w:eastAsia="仿宋_GB2312"/>
          <w:b/>
          <w:bCs/>
          <w:color w:val="000000"/>
          <w:kern w:val="0"/>
          <w:sz w:val="32"/>
          <w:szCs w:val="32"/>
          <w:lang w:eastAsia="zh-CN"/>
        </w:rPr>
        <w:t>（</w:t>
      </w:r>
      <w:r>
        <w:rPr>
          <w:rFonts w:hint="eastAsia" w:ascii="仿宋_GB2312" w:eastAsia="仿宋_GB2312"/>
          <w:b/>
          <w:bCs/>
          <w:color w:val="000000"/>
          <w:kern w:val="0"/>
          <w:sz w:val="32"/>
          <w:szCs w:val="32"/>
          <w:lang w:val="en-US" w:eastAsia="zh-CN"/>
        </w:rPr>
        <w:t>33</w:t>
      </w:r>
      <w:r>
        <w:rPr>
          <w:rFonts w:hint="eastAsia" w:ascii="仿宋_GB2312" w:eastAsia="仿宋_GB2312"/>
          <w:b/>
          <w:bCs/>
          <w:color w:val="000000"/>
          <w:kern w:val="0"/>
          <w:sz w:val="32"/>
          <w:szCs w:val="32"/>
          <w:lang w:eastAsia="zh-CN"/>
        </w:rPr>
        <w:t>）</w:t>
      </w:r>
      <w:r>
        <w:rPr>
          <w:rFonts w:hint="eastAsia" w:ascii="仿宋_GB2312" w:eastAsia="仿宋_GB2312"/>
          <w:b/>
          <w:bCs/>
          <w:color w:val="000000"/>
          <w:kern w:val="0"/>
          <w:sz w:val="32"/>
          <w:szCs w:val="32"/>
        </w:rPr>
        <w:t>节能环保支出</w:t>
      </w:r>
      <w:r>
        <w:rPr>
          <w:rFonts w:hint="eastAsia" w:ascii="仿宋_GB2312" w:eastAsia="仿宋_GB2312"/>
          <w:b/>
          <w:bCs/>
          <w:color w:val="000000"/>
          <w:kern w:val="0"/>
          <w:sz w:val="32"/>
          <w:szCs w:val="32"/>
          <w:lang w:val="en-US" w:eastAsia="zh-CN"/>
        </w:rPr>
        <w:t>（类）其他节能环保支出（款）其他节能环保支出（项）。</w:t>
      </w:r>
      <w:r>
        <w:rPr>
          <w:rFonts w:hint="eastAsia" w:ascii="仿宋_GB2312" w:eastAsia="仿宋_GB2312"/>
          <w:b w:val="0"/>
          <w:bCs w:val="0"/>
          <w:color w:val="000000"/>
          <w:kern w:val="0"/>
          <w:sz w:val="32"/>
          <w:szCs w:val="32"/>
          <w:lang w:val="en-US" w:eastAsia="zh-CN"/>
        </w:rPr>
        <w:t>上年结转1610万元，本年预算180万元，本年支出1707.55万元，年末结转结余94.37万元，预算执行率95.37%。</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0" w:rightChars="0" w:firstLine="640" w:firstLineChars="200"/>
        <w:jc w:val="left"/>
        <w:textAlignment w:val="auto"/>
        <w:outlineLvl w:val="9"/>
        <w:rPr>
          <w:rFonts w:hint="eastAsia" w:ascii="仿宋_GB2312" w:eastAsia="仿宋_GB2312"/>
          <w:b w:val="0"/>
          <w:bCs w:val="0"/>
          <w:color w:val="000000"/>
          <w:kern w:val="0"/>
          <w:sz w:val="32"/>
          <w:szCs w:val="32"/>
          <w:lang w:val="en-US" w:eastAsia="zh-CN"/>
        </w:rPr>
      </w:pPr>
      <w:r>
        <w:rPr>
          <w:rFonts w:hint="eastAsia" w:ascii="仿宋_GB2312" w:eastAsia="仿宋_GB2312"/>
          <w:b/>
          <w:bCs/>
          <w:color w:val="000000"/>
          <w:kern w:val="0"/>
          <w:sz w:val="32"/>
          <w:szCs w:val="32"/>
          <w:lang w:eastAsia="zh-CN"/>
        </w:rPr>
        <w:t>（</w:t>
      </w:r>
      <w:r>
        <w:rPr>
          <w:rFonts w:hint="eastAsia" w:ascii="仿宋_GB2312" w:eastAsia="仿宋_GB2312"/>
          <w:b/>
          <w:bCs/>
          <w:color w:val="000000"/>
          <w:kern w:val="0"/>
          <w:sz w:val="32"/>
          <w:szCs w:val="32"/>
          <w:lang w:val="en-US" w:eastAsia="zh-CN"/>
        </w:rPr>
        <w:t>34</w:t>
      </w:r>
      <w:r>
        <w:rPr>
          <w:rFonts w:hint="eastAsia" w:ascii="仿宋_GB2312" w:eastAsia="仿宋_GB2312"/>
          <w:b/>
          <w:bCs/>
          <w:color w:val="000000"/>
          <w:kern w:val="0"/>
          <w:sz w:val="32"/>
          <w:szCs w:val="32"/>
          <w:lang w:eastAsia="zh-CN"/>
        </w:rPr>
        <w:t>）</w:t>
      </w:r>
      <w:r>
        <w:rPr>
          <w:rFonts w:hint="eastAsia" w:ascii="仿宋_GB2312" w:eastAsia="仿宋_GB2312"/>
          <w:b/>
          <w:bCs/>
          <w:color w:val="000000"/>
          <w:kern w:val="0"/>
          <w:sz w:val="32"/>
          <w:szCs w:val="32"/>
        </w:rPr>
        <w:t>城乡社区支出</w:t>
      </w:r>
      <w:r>
        <w:rPr>
          <w:rFonts w:hint="eastAsia" w:ascii="仿宋_GB2312" w:eastAsia="仿宋_GB2312"/>
          <w:b/>
          <w:bCs/>
          <w:color w:val="000000"/>
          <w:kern w:val="0"/>
          <w:sz w:val="32"/>
          <w:szCs w:val="32"/>
          <w:lang w:val="en-US" w:eastAsia="zh-CN"/>
        </w:rPr>
        <w:t>（类）城乡社区管理事务（款）行政运行（项）。</w:t>
      </w:r>
      <w:r>
        <w:rPr>
          <w:rFonts w:hint="eastAsia" w:ascii="仿宋_GB2312" w:eastAsia="仿宋_GB2312"/>
          <w:b w:val="0"/>
          <w:bCs w:val="0"/>
          <w:color w:val="000000"/>
          <w:kern w:val="0"/>
          <w:sz w:val="32"/>
          <w:szCs w:val="32"/>
          <w:lang w:val="en-US" w:eastAsia="zh-CN"/>
        </w:rPr>
        <w:t>本年预算180.43万元，本年支出180.43万元，预算执行率100%。</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0" w:rightChars="0" w:firstLine="640" w:firstLineChars="200"/>
        <w:jc w:val="left"/>
        <w:textAlignment w:val="auto"/>
        <w:outlineLvl w:val="9"/>
        <w:rPr>
          <w:rFonts w:hint="eastAsia" w:ascii="仿宋_GB2312" w:eastAsia="仿宋_GB2312"/>
          <w:b w:val="0"/>
          <w:bCs w:val="0"/>
          <w:color w:val="000000"/>
          <w:kern w:val="0"/>
          <w:sz w:val="32"/>
          <w:szCs w:val="32"/>
          <w:lang w:val="en-US" w:eastAsia="zh-CN"/>
        </w:rPr>
      </w:pPr>
      <w:r>
        <w:rPr>
          <w:rFonts w:hint="eastAsia" w:ascii="仿宋_GB2312" w:eastAsia="仿宋_GB2312"/>
          <w:b/>
          <w:bCs/>
          <w:color w:val="000000"/>
          <w:kern w:val="0"/>
          <w:sz w:val="32"/>
          <w:szCs w:val="32"/>
          <w:lang w:eastAsia="zh-CN"/>
        </w:rPr>
        <w:t>（</w:t>
      </w:r>
      <w:r>
        <w:rPr>
          <w:rFonts w:hint="eastAsia" w:ascii="仿宋_GB2312" w:eastAsia="仿宋_GB2312"/>
          <w:b/>
          <w:bCs/>
          <w:color w:val="000000"/>
          <w:kern w:val="0"/>
          <w:sz w:val="32"/>
          <w:szCs w:val="32"/>
          <w:lang w:val="en-US" w:eastAsia="zh-CN"/>
        </w:rPr>
        <w:t>35</w:t>
      </w:r>
      <w:r>
        <w:rPr>
          <w:rFonts w:hint="eastAsia" w:ascii="仿宋_GB2312" w:eastAsia="仿宋_GB2312"/>
          <w:b/>
          <w:bCs/>
          <w:color w:val="000000"/>
          <w:kern w:val="0"/>
          <w:sz w:val="32"/>
          <w:szCs w:val="32"/>
          <w:lang w:eastAsia="zh-CN"/>
        </w:rPr>
        <w:t>）</w:t>
      </w:r>
      <w:r>
        <w:rPr>
          <w:rFonts w:hint="eastAsia" w:ascii="仿宋_GB2312" w:eastAsia="仿宋_GB2312"/>
          <w:b/>
          <w:bCs/>
          <w:color w:val="000000"/>
          <w:kern w:val="0"/>
          <w:sz w:val="32"/>
          <w:szCs w:val="32"/>
        </w:rPr>
        <w:t>住房保障支出</w:t>
      </w:r>
      <w:r>
        <w:rPr>
          <w:rFonts w:hint="eastAsia" w:ascii="仿宋_GB2312" w:eastAsia="仿宋_GB2312"/>
          <w:b/>
          <w:bCs/>
          <w:color w:val="000000"/>
          <w:kern w:val="0"/>
          <w:sz w:val="32"/>
          <w:szCs w:val="32"/>
          <w:lang w:val="en-US" w:eastAsia="zh-CN"/>
        </w:rPr>
        <w:t>（类）住房改革支出（款）住房公积金（项）。</w:t>
      </w:r>
      <w:r>
        <w:rPr>
          <w:rFonts w:hint="eastAsia" w:ascii="仿宋_GB2312" w:eastAsia="仿宋_GB2312"/>
          <w:b w:val="0"/>
          <w:bCs w:val="0"/>
          <w:color w:val="000000"/>
          <w:kern w:val="0"/>
          <w:sz w:val="32"/>
          <w:szCs w:val="32"/>
          <w:lang w:val="en-US" w:eastAsia="zh-CN"/>
        </w:rPr>
        <w:t>本年预算1334.92万元，本年支出1334.92万元，预算执行率100%。</w:t>
      </w:r>
    </w:p>
    <w:p>
      <w:pPr>
        <w:pStyle w:val="11"/>
        <w:rPr>
          <w:rFonts w:hAnsi="黑体"/>
          <w:b/>
          <w:sz w:val="32"/>
          <w:szCs w:val="32"/>
        </w:rPr>
      </w:pPr>
      <w:r>
        <w:rPr>
          <w:rFonts w:hint="eastAsia" w:hAnsi="黑体"/>
          <w:b/>
          <w:sz w:val="32"/>
          <w:szCs w:val="32"/>
        </w:rPr>
        <w:t>六、一般公共预算财政拨款基本支出决算情况说明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2019年度财政拨款基本支出</w:t>
      </w:r>
      <w:r>
        <w:rPr>
          <w:rFonts w:hint="eastAsia" w:asciiTheme="minorEastAsia" w:hAnsiTheme="minorEastAsia" w:eastAsiaTheme="minorEastAsia"/>
          <w:sz w:val="32"/>
          <w:szCs w:val="32"/>
          <w:lang w:val="en-US" w:eastAsia="zh-CN"/>
        </w:rPr>
        <w:t>24830.3</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18407.95</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74.14</w:t>
      </w:r>
      <w:r>
        <w:rPr>
          <w:rFonts w:hint="eastAsia" w:asciiTheme="minorEastAsia" w:hAnsiTheme="minorEastAsia" w:eastAsiaTheme="minorEastAsia"/>
          <w:sz w:val="32"/>
          <w:szCs w:val="32"/>
        </w:rPr>
        <w:t>%,主要包括基本工资、津贴补贴、奖金、伙食补助费</w:t>
      </w:r>
      <w:r>
        <w:rPr>
          <w:rFonts w:hint="eastAsia" w:asciiTheme="minorEastAsia" w:hAnsiTheme="minorEastAsia" w:eastAsiaTheme="minorEastAsia"/>
          <w:sz w:val="32"/>
          <w:szCs w:val="32"/>
          <w:lang w:eastAsia="zh-CN"/>
        </w:rPr>
        <w:t>等人员经费支出</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5972.36</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25.86</w:t>
      </w:r>
      <w:r>
        <w:rPr>
          <w:rFonts w:hint="eastAsia" w:asciiTheme="minorEastAsia" w:hAnsiTheme="minorEastAsia" w:eastAsiaTheme="minorEastAsia"/>
          <w:sz w:val="32"/>
          <w:szCs w:val="32"/>
        </w:rPr>
        <w:t>%，主要包括办公费、印刷费、咨询费、手续费</w:t>
      </w:r>
      <w:r>
        <w:rPr>
          <w:rFonts w:hint="eastAsia" w:asciiTheme="minorEastAsia" w:hAnsiTheme="minorEastAsia" w:eastAsiaTheme="minorEastAsia"/>
          <w:sz w:val="32"/>
          <w:szCs w:val="32"/>
          <w:lang w:eastAsia="zh-CN"/>
        </w:rPr>
        <w:t>等日常公用经费支出</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七、一般公共预算财政拨款三公经费支出决算情况说明</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379.8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272.46</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71.74</w:t>
      </w:r>
      <w:r>
        <w:rPr>
          <w:rFonts w:hint="eastAsia" w:asciiTheme="minorEastAsia" w:hAnsiTheme="minorEastAsia" w:eastAsiaTheme="minorEastAsia"/>
          <w:sz w:val="32"/>
          <w:szCs w:val="32"/>
        </w:rPr>
        <w:t>%，其中：</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60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59.1</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98.5</w:t>
      </w:r>
      <w:r>
        <w:rPr>
          <w:rFonts w:hint="eastAsia" w:asciiTheme="minorEastAsia" w:hAnsiTheme="minorEastAsia" w:eastAsiaTheme="minorEastAsia"/>
          <w:sz w:val="32"/>
          <w:szCs w:val="32"/>
        </w:rPr>
        <w:t>%，决算数小于年初预算数的主要原因是</w:t>
      </w:r>
      <w:r>
        <w:rPr>
          <w:rFonts w:hint="eastAsia" w:asciiTheme="minorEastAsia" w:hAnsiTheme="minorEastAsia" w:eastAsiaTheme="minorEastAsia"/>
          <w:sz w:val="32"/>
          <w:szCs w:val="32"/>
          <w:lang w:eastAsia="zh-CN"/>
        </w:rPr>
        <w:t>贯彻落实厉行节约精神</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压减了不必要的出国费用；</w:t>
      </w:r>
      <w:r>
        <w:rPr>
          <w:rFonts w:hint="eastAsia" w:asciiTheme="minorEastAsia" w:hAnsiTheme="minorEastAsia" w:eastAsiaTheme="minorEastAsia"/>
          <w:sz w:val="32"/>
          <w:szCs w:val="32"/>
        </w:rPr>
        <w:t>与上年相比增加</w:t>
      </w:r>
      <w:r>
        <w:rPr>
          <w:rFonts w:hint="eastAsia" w:asciiTheme="minorEastAsia" w:hAnsiTheme="minorEastAsia" w:eastAsiaTheme="minorEastAsia"/>
          <w:sz w:val="32"/>
          <w:szCs w:val="32"/>
          <w:lang w:val="en-US" w:eastAsia="zh-CN"/>
        </w:rPr>
        <w:t>19.22</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48.19</w:t>
      </w:r>
      <w:r>
        <w:rPr>
          <w:rFonts w:hint="eastAsia" w:asciiTheme="minorEastAsia" w:hAnsiTheme="minorEastAsia" w:eastAsiaTheme="minorEastAsia"/>
          <w:sz w:val="32"/>
          <w:szCs w:val="32"/>
        </w:rPr>
        <w:t>%,增长的主要原因是</w:t>
      </w:r>
      <w:r>
        <w:rPr>
          <w:rFonts w:hint="eastAsia" w:asciiTheme="minorEastAsia" w:hAnsiTheme="minorEastAsia" w:eastAsiaTheme="minorEastAsia"/>
          <w:sz w:val="32"/>
          <w:szCs w:val="32"/>
          <w:lang w:eastAsia="zh-CN"/>
        </w:rPr>
        <w:t>因公出国人次较</w:t>
      </w:r>
      <w:r>
        <w:rPr>
          <w:rFonts w:hint="eastAsia" w:asciiTheme="minorEastAsia" w:hAnsiTheme="minorEastAsia" w:eastAsiaTheme="minorEastAsia"/>
          <w:sz w:val="32"/>
          <w:szCs w:val="32"/>
          <w:lang w:val="en-US" w:eastAsia="zh-CN"/>
        </w:rPr>
        <w:t>2018年有所增加</w:t>
      </w:r>
      <w:r>
        <w:rPr>
          <w:rFonts w:hint="eastAsia" w:asciiTheme="minorEastAsia" w:hAnsiTheme="minorEastAsia" w:eastAsiaTheme="minorEastAsia"/>
          <w:sz w:val="32"/>
          <w:szCs w:val="32"/>
        </w:rPr>
        <w:t>。</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146.5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63.68</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43.47</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29.11</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35.19</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eastAsia="zh-CN"/>
        </w:rPr>
        <w:t>贯彻落实厉行节约精神，压减了不必要的接待开支</w:t>
      </w:r>
      <w:r>
        <w:rPr>
          <w:rFonts w:hint="eastAsia" w:asciiTheme="minorEastAsia" w:hAnsiTheme="minorEastAsia" w:eastAsiaTheme="minorEastAsia"/>
          <w:sz w:val="32"/>
          <w:szCs w:val="32"/>
        </w:rPr>
        <w:t>。</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w:t>
      </w:r>
      <w:r>
        <w:rPr>
          <w:rFonts w:hint="eastAsia" w:asciiTheme="minorEastAsia" w:hAnsiTheme="minorEastAsia" w:eastAsiaTheme="minorEastAsia"/>
          <w:sz w:val="32"/>
          <w:szCs w:val="32"/>
          <w:lang w:val="en-US" w:eastAsia="zh-CN"/>
        </w:rPr>
        <w:t>173.3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149.69</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86.38</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125.36</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26.82</w:t>
      </w:r>
      <w:r>
        <w:rPr>
          <w:rFonts w:hint="eastAsia" w:asciiTheme="minorEastAsia" w:hAnsiTheme="minorEastAsia" w:eastAsiaTheme="minorEastAsia"/>
          <w:sz w:val="32"/>
          <w:szCs w:val="32"/>
        </w:rPr>
        <w:t>%,减少（增长）的主要原因是</w:t>
      </w:r>
      <w:r>
        <w:rPr>
          <w:rFonts w:hint="eastAsia" w:asciiTheme="minorEastAsia" w:hAnsiTheme="minorEastAsia" w:eastAsiaTheme="minorEastAsia"/>
          <w:sz w:val="32"/>
          <w:szCs w:val="32"/>
          <w:lang w:eastAsia="zh-CN"/>
        </w:rPr>
        <w:t>贯彻落实厉行节约精神，压减了不必要的公务用车运行经费</w:t>
      </w:r>
      <w:r>
        <w:rPr>
          <w:rFonts w:hint="eastAsia" w:asciiTheme="minorEastAsia" w:hAnsiTheme="minorEastAsia" w:eastAsiaTheme="minorEastAsia"/>
          <w:sz w:val="32"/>
          <w:szCs w:val="32"/>
        </w:rPr>
        <w:t>。</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2019年度“三公”经费财政拨款支出决算中，公务接待费支出决算</w:t>
      </w:r>
      <w:r>
        <w:rPr>
          <w:rFonts w:hint="eastAsia" w:asciiTheme="minorEastAsia" w:hAnsiTheme="minorEastAsia" w:eastAsiaTheme="minorEastAsia"/>
          <w:sz w:val="32"/>
          <w:szCs w:val="32"/>
          <w:lang w:val="en-US" w:eastAsia="zh-CN"/>
        </w:rPr>
        <w:t>63.68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23.37</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59.1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21.69</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149.69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54.94</w:t>
      </w:r>
      <w:r>
        <w:rPr>
          <w:rFonts w:hint="eastAsia" w:asciiTheme="minorEastAsia" w:hAnsiTheme="minorEastAsia" w:eastAsiaTheme="minorEastAsia"/>
          <w:sz w:val="32"/>
          <w:szCs w:val="32"/>
        </w:rPr>
        <w:t>%。其中：</w:t>
      </w:r>
    </w:p>
    <w:p>
      <w:pPr>
        <w:pStyle w:val="11"/>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59.1</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12</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31</w:t>
      </w:r>
      <w:r>
        <w:rPr>
          <w:rFonts w:hint="eastAsia" w:asciiTheme="minorEastAsia" w:hAnsiTheme="minorEastAsia" w:eastAsiaTheme="minorEastAsia"/>
          <w:sz w:val="32"/>
          <w:szCs w:val="32"/>
        </w:rPr>
        <w:t>人次,主要用于</w:t>
      </w:r>
      <w:r>
        <w:rPr>
          <w:rFonts w:hint="eastAsia" w:asciiTheme="minorEastAsia" w:hAnsiTheme="minorEastAsia" w:eastAsiaTheme="minorEastAsia"/>
          <w:sz w:val="32"/>
          <w:szCs w:val="32"/>
          <w:lang w:eastAsia="zh-CN"/>
        </w:rPr>
        <w:t>省委省政府组织的国外考察、调研活动支出。</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63.68</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568</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4924</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公务接待</w:t>
      </w:r>
      <w:r>
        <w:rPr>
          <w:rFonts w:hint="eastAsia" w:asciiTheme="minorEastAsia" w:hAnsiTheme="minorEastAsia" w:eastAsiaTheme="minorEastAsia"/>
          <w:sz w:val="32"/>
          <w:szCs w:val="32"/>
        </w:rPr>
        <w:t>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eastAsiaTheme="minorEastAsia"/>
          <w:sz w:val="32"/>
          <w:szCs w:val="32"/>
          <w:lang w:val="en-US" w:eastAsia="zh-CN"/>
        </w:rPr>
        <w:t>149.69</w:t>
      </w:r>
      <w:r>
        <w:rPr>
          <w:rFonts w:hint="eastAsia" w:asciiTheme="minorEastAsia" w:hAnsiTheme="minorEastAsia"/>
          <w:sz w:val="32"/>
          <w:szCs w:val="32"/>
        </w:rPr>
        <w:t>万元，其中：公务用车运行维护费</w:t>
      </w:r>
      <w:r>
        <w:rPr>
          <w:rFonts w:hint="eastAsia" w:asciiTheme="minorEastAsia" w:hAnsiTheme="minorEastAsia" w:eastAsiaTheme="minorEastAsia"/>
          <w:sz w:val="32"/>
          <w:szCs w:val="32"/>
          <w:lang w:val="en-US" w:eastAsia="zh-CN"/>
        </w:rPr>
        <w:t>149.69</w:t>
      </w:r>
      <w:r>
        <w:rPr>
          <w:rFonts w:hint="eastAsia" w:asciiTheme="minorEastAsia" w:hAnsiTheme="minorEastAsia"/>
          <w:sz w:val="32"/>
          <w:szCs w:val="32"/>
        </w:rPr>
        <w:t>万元，主要是</w:t>
      </w:r>
      <w:r>
        <w:rPr>
          <w:rFonts w:hint="eastAsia" w:asciiTheme="minorEastAsia" w:hAnsiTheme="minorEastAsia"/>
          <w:sz w:val="32"/>
          <w:szCs w:val="32"/>
          <w:lang w:eastAsia="zh-CN"/>
        </w:rPr>
        <w:t>保险油料费等</w:t>
      </w:r>
      <w:r>
        <w:rPr>
          <w:rFonts w:hint="eastAsia" w:asciiTheme="minorEastAsia" w:hAnsiTheme="minorEastAsia"/>
          <w:sz w:val="32"/>
          <w:szCs w:val="32"/>
        </w:rPr>
        <w:t>支出，截止2019年12月31日，我单位开支财政拨款的公务用车保有量为</w:t>
      </w:r>
      <w:r>
        <w:rPr>
          <w:rFonts w:hint="eastAsia" w:asciiTheme="minorEastAsia" w:hAnsiTheme="minorEastAsia"/>
          <w:sz w:val="32"/>
          <w:szCs w:val="32"/>
          <w:lang w:val="en-US" w:eastAsia="zh-CN"/>
        </w:rPr>
        <w:t>46</w:t>
      </w:r>
      <w:r>
        <w:rPr>
          <w:rFonts w:hint="eastAsia" w:asciiTheme="minorEastAsia" w:hAnsiTheme="minorEastAsia"/>
          <w:sz w:val="32"/>
          <w:szCs w:val="32"/>
        </w:rPr>
        <w:t>辆。</w:t>
      </w:r>
    </w:p>
    <w:p>
      <w:pPr>
        <w:pStyle w:val="11"/>
        <w:rPr>
          <w:rFonts w:hAnsi="黑体"/>
          <w:b/>
          <w:sz w:val="32"/>
          <w:szCs w:val="32"/>
        </w:rPr>
      </w:pPr>
      <w:r>
        <w:rPr>
          <w:rFonts w:hint="eastAsia" w:hAnsi="黑体"/>
          <w:b/>
          <w:sz w:val="32"/>
          <w:szCs w:val="32"/>
        </w:rPr>
        <w:t>八、政府性基金预算收入支出决算情况</w:t>
      </w:r>
    </w:p>
    <w:p>
      <w:pPr>
        <w:pStyle w:val="11"/>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 xml:space="preserve">     2019年度</w:t>
      </w:r>
      <w:r>
        <w:rPr>
          <w:rFonts w:hint="eastAsia" w:asciiTheme="minorEastAsia" w:hAnsiTheme="minorEastAsia" w:eastAsiaTheme="minorEastAsia"/>
          <w:sz w:val="32"/>
          <w:szCs w:val="32"/>
          <w:lang w:eastAsia="zh-CN"/>
        </w:rPr>
        <w:t>我</w:t>
      </w:r>
      <w:r>
        <w:rPr>
          <w:rFonts w:hint="eastAsia" w:asciiTheme="minorEastAsia" w:hAnsiTheme="minorEastAsia" w:eastAsiaTheme="minorEastAsia"/>
          <w:sz w:val="32"/>
          <w:szCs w:val="32"/>
        </w:rPr>
        <w:t>单位无政府性基金收支</w:t>
      </w:r>
      <w:r>
        <w:rPr>
          <w:rFonts w:hint="eastAsia" w:asciiTheme="minorEastAsia" w:hAnsiTheme="minorEastAsia" w:eastAsiaTheme="minorEastAsia"/>
          <w:sz w:val="32"/>
          <w:szCs w:val="32"/>
          <w:lang w:eastAsia="zh-CN"/>
        </w:rPr>
        <w:t>。</w:t>
      </w:r>
    </w:p>
    <w:p>
      <w:pPr>
        <w:pStyle w:val="11"/>
        <w:rPr>
          <w:rFonts w:hAnsi="黑体"/>
          <w:b/>
          <w:sz w:val="32"/>
          <w:szCs w:val="32"/>
        </w:rPr>
      </w:pPr>
      <w:r>
        <w:rPr>
          <w:rFonts w:hint="eastAsia" w:hAnsi="黑体"/>
          <w:b/>
          <w:sz w:val="32"/>
          <w:szCs w:val="32"/>
        </w:rPr>
        <w:t>九、关于2019年度预算绩效情况说明</w:t>
      </w:r>
    </w:p>
    <w:p>
      <w:pPr>
        <w:pStyle w:val="11"/>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eastAsia="zh-CN"/>
        </w:rPr>
        <w:t>根据财政预算管理要求，我厅组织对201</w:t>
      </w: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lang w:eastAsia="zh-CN"/>
        </w:rPr>
        <w:t>年度部门整体支出及环境保护专项支出全面开展了绩效自评，自评资金覆盖率达到 100%。</w:t>
      </w:r>
      <w:r>
        <w:rPr>
          <w:rFonts w:hint="eastAsia" w:asciiTheme="minorEastAsia" w:hAnsiTheme="minorEastAsia" w:eastAsiaTheme="minorEastAsia"/>
          <w:sz w:val="32"/>
          <w:szCs w:val="32"/>
          <w:lang w:val="en-US" w:eastAsia="zh-CN"/>
        </w:rPr>
        <w:t>自评价</w:t>
      </w:r>
      <w:r>
        <w:rPr>
          <w:rFonts w:hint="eastAsia" w:asciiTheme="minorEastAsia" w:hAnsiTheme="minorEastAsia" w:eastAsiaTheme="minorEastAsia"/>
          <w:sz w:val="32"/>
          <w:szCs w:val="32"/>
          <w:lang w:eastAsia="zh-CN"/>
        </w:rPr>
        <w:t>结果已按时报送省财政厅，自评报告已在厅门户网站上进行公开。</w:t>
      </w:r>
    </w:p>
    <w:p>
      <w:pPr>
        <w:pStyle w:val="11"/>
        <w:rPr>
          <w:rFonts w:hAnsi="黑体"/>
          <w:b/>
          <w:sz w:val="32"/>
          <w:szCs w:val="32"/>
        </w:rPr>
      </w:pPr>
      <w:r>
        <w:rPr>
          <w:rFonts w:hint="eastAsia" w:hAnsi="黑体"/>
          <w:b/>
          <w:sz w:val="32"/>
          <w:szCs w:val="32"/>
        </w:rPr>
        <w:t>十、其他重要事项情况说明</w:t>
      </w:r>
    </w:p>
    <w:p>
      <w:pPr>
        <w:ind w:firstLine="480" w:firstLineChars="15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（一）机关运行经费支出情况</w:t>
      </w:r>
    </w:p>
    <w:p>
      <w:pPr>
        <w:ind w:firstLine="640" w:firstLineChars="200"/>
        <w:rPr>
          <w:rFonts w:hint="eastAsia" w:cs="黑体" w:asciiTheme="minorEastAsia" w:hAnsiTheme="minorEastAsia"/>
          <w:color w:val="000000"/>
          <w:kern w:val="0"/>
          <w:sz w:val="32"/>
          <w:szCs w:val="32"/>
          <w:lang w:eastAsia="zh-CN"/>
        </w:rPr>
      </w:pPr>
      <w:r>
        <w:rPr>
          <w:rFonts w:hint="eastAsia" w:cs="黑体" w:asciiTheme="minorEastAsia" w:hAnsiTheme="minorEastAsia"/>
          <w:color w:val="000000"/>
          <w:kern w:val="0"/>
          <w:sz w:val="32"/>
          <w:szCs w:val="32"/>
        </w:rPr>
        <w:t>本部门2019 年度机关运行经费支出1465</w:t>
      </w:r>
      <w:r>
        <w:rPr>
          <w:rFonts w:hint="eastAsia" w:cs="黑体" w:asciiTheme="minorEastAsia" w:hAnsiTheme="minorEastAsia"/>
          <w:color w:val="000000"/>
          <w:kern w:val="0"/>
          <w:sz w:val="32"/>
          <w:szCs w:val="32"/>
          <w:lang w:val="en-US" w:eastAsia="zh-CN"/>
        </w:rPr>
        <w:t>.</w:t>
      </w:r>
      <w:r>
        <w:rPr>
          <w:rFonts w:hint="eastAsia" w:cs="黑体" w:asciiTheme="minorEastAsia" w:hAnsiTheme="minorEastAsia"/>
          <w:color w:val="000000"/>
          <w:kern w:val="0"/>
          <w:sz w:val="32"/>
          <w:szCs w:val="32"/>
        </w:rPr>
        <w:t>5</w:t>
      </w:r>
      <w:r>
        <w:rPr>
          <w:rFonts w:hint="eastAsia" w:cs="黑体" w:asciiTheme="minorEastAsia" w:hAnsiTheme="minorEastAsia"/>
          <w:color w:val="000000"/>
          <w:kern w:val="0"/>
          <w:sz w:val="32"/>
          <w:szCs w:val="32"/>
          <w:lang w:val="en-US" w:eastAsia="zh-CN"/>
        </w:rPr>
        <w:t>5</w:t>
      </w:r>
      <w:r>
        <w:rPr>
          <w:rFonts w:hint="eastAsia" w:cs="黑体" w:asciiTheme="minorEastAsia" w:hAnsiTheme="minorEastAsia"/>
          <w:color w:val="000000"/>
          <w:kern w:val="0"/>
          <w:sz w:val="32"/>
          <w:szCs w:val="32"/>
        </w:rPr>
        <w:t>万元，比年初预算数</w:t>
      </w:r>
      <w:r>
        <w:rPr>
          <w:rFonts w:hint="eastAsia" w:cs="黑体" w:asciiTheme="minorEastAsia" w:hAnsiTheme="minorEastAsia"/>
          <w:color w:val="000000"/>
          <w:kern w:val="0"/>
          <w:sz w:val="32"/>
          <w:szCs w:val="32"/>
          <w:lang w:eastAsia="zh-CN"/>
        </w:rPr>
        <w:t>减少</w:t>
      </w:r>
      <w:r>
        <w:rPr>
          <w:rFonts w:hint="eastAsia" w:cs="黑体" w:asciiTheme="minorEastAsia" w:hAnsiTheme="minorEastAsia"/>
          <w:color w:val="000000"/>
          <w:kern w:val="0"/>
          <w:sz w:val="32"/>
          <w:szCs w:val="32"/>
          <w:lang w:val="en-US" w:eastAsia="zh-CN"/>
        </w:rPr>
        <w:t>34.45</w:t>
      </w:r>
      <w:r>
        <w:rPr>
          <w:rFonts w:hint="eastAsia" w:cs="黑体" w:asciiTheme="minorEastAsia" w:hAnsiTheme="minorEastAsia"/>
          <w:color w:val="000000"/>
          <w:kern w:val="0"/>
          <w:sz w:val="32"/>
          <w:szCs w:val="32"/>
        </w:rPr>
        <w:t>万元，降低</w:t>
      </w:r>
      <w:r>
        <w:rPr>
          <w:rFonts w:hint="eastAsia" w:cs="黑体" w:asciiTheme="minorEastAsia" w:hAnsiTheme="minorEastAsia"/>
          <w:color w:val="000000"/>
          <w:kern w:val="0"/>
          <w:sz w:val="32"/>
          <w:szCs w:val="32"/>
          <w:lang w:val="en-US" w:eastAsia="zh-CN"/>
        </w:rPr>
        <w:t>2.35</w:t>
      </w:r>
      <w:r>
        <w:rPr>
          <w:rFonts w:hint="eastAsia" w:cs="黑体" w:asciiTheme="minorEastAsia" w:hAnsiTheme="minorEastAsia"/>
          <w:color w:val="000000"/>
          <w:kern w:val="0"/>
          <w:sz w:val="32"/>
          <w:szCs w:val="32"/>
        </w:rPr>
        <w:t>%。主要原因是：</w:t>
      </w:r>
      <w:r>
        <w:rPr>
          <w:rFonts w:hint="eastAsia" w:cs="黑体" w:asciiTheme="minorEastAsia" w:hAnsiTheme="minorEastAsia"/>
          <w:color w:val="000000"/>
          <w:kern w:val="0"/>
          <w:sz w:val="32"/>
          <w:szCs w:val="32"/>
          <w:lang w:eastAsia="zh-CN"/>
        </w:rPr>
        <w:t>认真贯彻落实厉行节约精神，压减了部分不必要开支。</w:t>
      </w:r>
    </w:p>
    <w:p>
      <w:pPr>
        <w:ind w:firstLine="640" w:firstLineChars="200"/>
        <w:rPr>
          <w:rFonts w:hint="eastAsia"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（二）一般性支出情况</w:t>
      </w:r>
    </w:p>
    <w:p>
      <w:pPr>
        <w:ind w:firstLine="640" w:firstLineChars="20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2019年本部门开支会议费</w:t>
      </w:r>
      <w:r>
        <w:rPr>
          <w:rFonts w:hint="eastAsia" w:cs="黑体" w:asciiTheme="minorEastAsia" w:hAnsiTheme="minorEastAsia"/>
          <w:color w:val="000000"/>
          <w:kern w:val="0"/>
          <w:sz w:val="32"/>
          <w:szCs w:val="32"/>
          <w:lang w:val="en-US" w:eastAsia="zh-CN"/>
        </w:rPr>
        <w:t>115.01</w:t>
      </w:r>
      <w:r>
        <w:rPr>
          <w:rFonts w:hint="eastAsia" w:cs="黑体" w:asciiTheme="minorEastAsia" w:hAnsiTheme="minorEastAsia"/>
          <w:color w:val="000000"/>
          <w:kern w:val="0"/>
          <w:sz w:val="32"/>
          <w:szCs w:val="32"/>
        </w:rPr>
        <w:t>万元，</w:t>
      </w:r>
      <w:r>
        <w:rPr>
          <w:rFonts w:hint="eastAsia" w:cs="黑体" w:asciiTheme="minorEastAsia" w:hAnsiTheme="minorEastAsia"/>
          <w:color w:val="000000"/>
          <w:kern w:val="0"/>
          <w:sz w:val="32"/>
          <w:szCs w:val="32"/>
          <w:lang w:eastAsia="zh-CN"/>
        </w:rPr>
        <w:t>比</w:t>
      </w:r>
      <w:r>
        <w:rPr>
          <w:rFonts w:hint="eastAsia" w:cs="黑体" w:asciiTheme="minorEastAsia" w:hAnsiTheme="minorEastAsia"/>
          <w:color w:val="000000"/>
          <w:kern w:val="0"/>
          <w:sz w:val="32"/>
          <w:szCs w:val="32"/>
          <w:lang w:val="en-US" w:eastAsia="zh-CN"/>
        </w:rPr>
        <w:t>2018年减少138.33万元，减少54.6%，</w:t>
      </w:r>
      <w:r>
        <w:rPr>
          <w:rFonts w:hint="eastAsia" w:cs="黑体" w:asciiTheme="minorEastAsia" w:hAnsiTheme="minorEastAsia"/>
          <w:color w:val="000000"/>
          <w:kern w:val="0"/>
          <w:sz w:val="32"/>
          <w:szCs w:val="32"/>
        </w:rPr>
        <w:t>用于召开</w:t>
      </w:r>
      <w:r>
        <w:rPr>
          <w:rFonts w:hint="eastAsia" w:cs="黑体" w:asciiTheme="minorEastAsia" w:hAnsiTheme="minorEastAsia"/>
          <w:color w:val="000000"/>
          <w:kern w:val="0"/>
          <w:sz w:val="32"/>
          <w:szCs w:val="32"/>
          <w:lang w:eastAsia="zh-CN"/>
        </w:rPr>
        <w:t>全省</w:t>
      </w:r>
      <w:r>
        <w:rPr>
          <w:rFonts w:hint="eastAsia" w:cs="黑体" w:asciiTheme="minorEastAsia" w:hAnsiTheme="minorEastAsia"/>
          <w:color w:val="000000"/>
          <w:kern w:val="0"/>
          <w:sz w:val="32"/>
          <w:szCs w:val="32"/>
          <w:lang w:val="en-US" w:eastAsia="zh-CN"/>
        </w:rPr>
        <w:t>环保大会等</w:t>
      </w:r>
      <w:r>
        <w:rPr>
          <w:rFonts w:hint="eastAsia" w:cs="黑体" w:asciiTheme="minorEastAsia" w:hAnsiTheme="minorEastAsia"/>
          <w:color w:val="000000"/>
          <w:kern w:val="0"/>
          <w:sz w:val="32"/>
          <w:szCs w:val="32"/>
        </w:rPr>
        <w:t>，人数</w:t>
      </w:r>
      <w:r>
        <w:rPr>
          <w:rFonts w:hint="eastAsia" w:cs="黑体" w:asciiTheme="minorEastAsia" w:hAnsiTheme="minorEastAsia"/>
          <w:color w:val="000000"/>
          <w:kern w:val="0"/>
          <w:sz w:val="32"/>
          <w:szCs w:val="32"/>
          <w:lang w:val="en-US" w:eastAsia="zh-CN"/>
        </w:rPr>
        <w:t>300</w:t>
      </w:r>
      <w:r>
        <w:rPr>
          <w:rFonts w:hint="eastAsia" w:cs="黑体" w:asciiTheme="minorEastAsia" w:hAnsiTheme="minorEastAsia"/>
          <w:color w:val="000000"/>
          <w:kern w:val="0"/>
          <w:sz w:val="32"/>
          <w:szCs w:val="32"/>
        </w:rPr>
        <w:t>人，内容为</w:t>
      </w:r>
      <w:r>
        <w:rPr>
          <w:rFonts w:hint="eastAsia" w:cs="黑体" w:asciiTheme="minorEastAsia" w:hAnsiTheme="minorEastAsia"/>
          <w:color w:val="000000"/>
          <w:kern w:val="0"/>
          <w:sz w:val="32"/>
          <w:szCs w:val="32"/>
          <w:lang w:eastAsia="zh-CN"/>
        </w:rPr>
        <w:t>开展环保宣传等</w:t>
      </w:r>
      <w:r>
        <w:rPr>
          <w:rFonts w:hint="eastAsia" w:cs="黑体" w:asciiTheme="minorEastAsia" w:hAnsiTheme="minorEastAsia"/>
          <w:color w:val="000000"/>
          <w:kern w:val="0"/>
          <w:sz w:val="32"/>
          <w:szCs w:val="32"/>
        </w:rPr>
        <w:t>；开支培训费</w:t>
      </w:r>
      <w:r>
        <w:rPr>
          <w:rFonts w:hint="eastAsia" w:cs="黑体" w:asciiTheme="minorEastAsia" w:hAnsiTheme="minorEastAsia"/>
          <w:color w:val="000000"/>
          <w:kern w:val="0"/>
          <w:sz w:val="32"/>
          <w:szCs w:val="32"/>
          <w:lang w:val="en-US" w:eastAsia="zh-CN"/>
        </w:rPr>
        <w:t>342.12</w:t>
      </w:r>
      <w:r>
        <w:rPr>
          <w:rFonts w:hint="eastAsia" w:cs="黑体" w:asciiTheme="minorEastAsia" w:hAnsiTheme="minorEastAsia"/>
          <w:color w:val="000000"/>
          <w:kern w:val="0"/>
          <w:sz w:val="32"/>
          <w:szCs w:val="32"/>
        </w:rPr>
        <w:t>万元，</w:t>
      </w:r>
      <w:r>
        <w:rPr>
          <w:rFonts w:hint="eastAsia" w:cs="黑体" w:asciiTheme="minorEastAsia" w:hAnsiTheme="minorEastAsia"/>
          <w:color w:val="000000"/>
          <w:kern w:val="0"/>
          <w:sz w:val="32"/>
          <w:szCs w:val="32"/>
          <w:lang w:eastAsia="zh-CN"/>
        </w:rPr>
        <w:t>比</w:t>
      </w:r>
      <w:r>
        <w:rPr>
          <w:rFonts w:hint="eastAsia" w:cs="黑体" w:asciiTheme="minorEastAsia" w:hAnsiTheme="minorEastAsia"/>
          <w:color w:val="000000"/>
          <w:kern w:val="0"/>
          <w:sz w:val="32"/>
          <w:szCs w:val="32"/>
          <w:lang w:val="en-US" w:eastAsia="zh-CN"/>
        </w:rPr>
        <w:t>2018年减少125.36万元，减少26.82%</w:t>
      </w:r>
      <w:r>
        <w:rPr>
          <w:rFonts w:hint="eastAsia" w:cs="黑体" w:asciiTheme="minorEastAsia" w:hAnsiTheme="minorEastAsia"/>
          <w:color w:val="000000"/>
          <w:kern w:val="0"/>
          <w:sz w:val="32"/>
          <w:szCs w:val="32"/>
        </w:rPr>
        <w:t>用于开展</w:t>
      </w:r>
      <w:r>
        <w:rPr>
          <w:rFonts w:hint="eastAsia" w:cs="黑体" w:asciiTheme="minorEastAsia" w:hAnsiTheme="minorEastAsia"/>
          <w:color w:val="000000"/>
          <w:kern w:val="0"/>
          <w:sz w:val="32"/>
          <w:szCs w:val="32"/>
          <w:lang w:eastAsia="zh-CN"/>
        </w:rPr>
        <w:t>业务</w:t>
      </w:r>
      <w:r>
        <w:rPr>
          <w:rFonts w:hint="eastAsia" w:cs="黑体" w:asciiTheme="minorEastAsia" w:hAnsiTheme="minorEastAsia"/>
          <w:color w:val="000000"/>
          <w:kern w:val="0"/>
          <w:sz w:val="32"/>
          <w:szCs w:val="32"/>
        </w:rPr>
        <w:t>培训，人数</w:t>
      </w:r>
      <w:r>
        <w:rPr>
          <w:rFonts w:hint="eastAsia" w:cs="黑体" w:asciiTheme="minorEastAsia" w:hAnsiTheme="minorEastAsia"/>
          <w:color w:val="000000"/>
          <w:kern w:val="0"/>
          <w:sz w:val="32"/>
          <w:szCs w:val="32"/>
          <w:lang w:val="en-US" w:eastAsia="zh-CN"/>
        </w:rPr>
        <w:t>30000</w:t>
      </w:r>
      <w:r>
        <w:rPr>
          <w:rFonts w:hint="eastAsia" w:cs="黑体" w:asciiTheme="minorEastAsia" w:hAnsiTheme="minorEastAsia"/>
          <w:color w:val="000000"/>
          <w:kern w:val="0"/>
          <w:sz w:val="32"/>
          <w:szCs w:val="32"/>
        </w:rPr>
        <w:t>人，内容为</w:t>
      </w:r>
      <w:r>
        <w:rPr>
          <w:rFonts w:hint="eastAsia" w:cs="黑体" w:asciiTheme="minorEastAsia" w:hAnsiTheme="minorEastAsia"/>
          <w:color w:val="000000"/>
          <w:kern w:val="0"/>
          <w:sz w:val="32"/>
          <w:szCs w:val="32"/>
          <w:lang w:eastAsia="zh-CN"/>
        </w:rPr>
        <w:t>各项业务培训等</w:t>
      </w:r>
      <w:r>
        <w:rPr>
          <w:rFonts w:hint="eastAsia" w:cs="黑体" w:asciiTheme="minorEastAsia" w:hAnsiTheme="minorEastAsia"/>
          <w:color w:val="000000"/>
          <w:kern w:val="0"/>
          <w:sz w:val="32"/>
          <w:szCs w:val="32"/>
        </w:rPr>
        <w:t>；举办节庆、晚会、论坛、赛事活动，开支</w:t>
      </w:r>
      <w:r>
        <w:rPr>
          <w:rFonts w:hint="eastAsia" w:cs="黑体" w:asciiTheme="minorEastAsia" w:hAnsiTheme="minorEastAsia"/>
          <w:color w:val="000000"/>
          <w:kern w:val="0"/>
          <w:sz w:val="32"/>
          <w:szCs w:val="32"/>
          <w:lang w:val="en-US" w:eastAsia="zh-CN"/>
        </w:rPr>
        <w:t>28.16</w:t>
      </w:r>
      <w:r>
        <w:rPr>
          <w:rFonts w:hint="eastAsia" w:cs="黑体" w:asciiTheme="minorEastAsia" w:hAnsiTheme="minorEastAsia"/>
          <w:color w:val="000000"/>
          <w:kern w:val="0"/>
          <w:sz w:val="32"/>
          <w:szCs w:val="32"/>
        </w:rPr>
        <w:t>万元，主要是</w:t>
      </w:r>
      <w:r>
        <w:rPr>
          <w:rFonts w:hint="eastAsia" w:cs="黑体" w:asciiTheme="minorEastAsia" w:hAnsiTheme="minorEastAsia"/>
          <w:color w:val="000000"/>
          <w:kern w:val="0"/>
          <w:sz w:val="32"/>
          <w:szCs w:val="32"/>
          <w:lang w:eastAsia="zh-CN"/>
        </w:rPr>
        <w:t>元旦节庆、职工体育活动、演讲比赛等支出</w:t>
      </w:r>
      <w:r>
        <w:rPr>
          <w:rFonts w:hint="eastAsia" w:cs="黑体" w:asciiTheme="minorEastAsia" w:hAnsiTheme="minorEastAsia"/>
          <w:color w:val="000000"/>
          <w:kern w:val="0"/>
          <w:sz w:val="32"/>
          <w:szCs w:val="32"/>
        </w:rPr>
        <w:t>。</w:t>
      </w:r>
    </w:p>
    <w:p>
      <w:pPr>
        <w:ind w:firstLine="640" w:firstLineChars="20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（三）政府采购支出情况</w:t>
      </w:r>
    </w:p>
    <w:p>
      <w:pPr>
        <w:ind w:firstLine="640" w:firstLineChars="20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本部门2019年度政府采购支出总额</w:t>
      </w:r>
      <w:r>
        <w:rPr>
          <w:rFonts w:hint="eastAsia" w:cs="黑体" w:asciiTheme="minorEastAsia" w:hAnsiTheme="minorEastAsia"/>
          <w:color w:val="000000"/>
          <w:kern w:val="0"/>
          <w:sz w:val="32"/>
          <w:szCs w:val="32"/>
          <w:lang w:val="en-US" w:eastAsia="zh-CN"/>
        </w:rPr>
        <w:t>9466.32</w:t>
      </w:r>
      <w:r>
        <w:rPr>
          <w:rFonts w:hint="eastAsia" w:cs="黑体" w:asciiTheme="minorEastAsia" w:hAnsiTheme="minorEastAsia"/>
          <w:color w:val="000000"/>
          <w:kern w:val="0"/>
          <w:sz w:val="32"/>
          <w:szCs w:val="32"/>
        </w:rPr>
        <w:t>万元，其中：政府采购货物支出</w:t>
      </w:r>
      <w:r>
        <w:rPr>
          <w:rFonts w:hint="eastAsia" w:cs="黑体" w:asciiTheme="minorEastAsia" w:hAnsiTheme="minorEastAsia"/>
          <w:color w:val="000000"/>
          <w:kern w:val="0"/>
          <w:sz w:val="32"/>
          <w:szCs w:val="32"/>
          <w:lang w:val="en-US" w:eastAsia="zh-CN"/>
        </w:rPr>
        <w:t>7598.59</w:t>
      </w:r>
      <w:r>
        <w:rPr>
          <w:rFonts w:hint="eastAsia" w:cs="黑体" w:asciiTheme="minorEastAsia" w:hAnsiTheme="minorEastAsia"/>
          <w:color w:val="000000"/>
          <w:kern w:val="0"/>
          <w:sz w:val="32"/>
          <w:szCs w:val="32"/>
        </w:rPr>
        <w:t>万元、政府采购工程支出</w:t>
      </w:r>
      <w:r>
        <w:rPr>
          <w:rFonts w:hint="eastAsia" w:cs="黑体" w:asciiTheme="minorEastAsia" w:hAnsiTheme="minorEastAsia"/>
          <w:color w:val="000000"/>
          <w:kern w:val="0"/>
          <w:sz w:val="32"/>
          <w:szCs w:val="32"/>
          <w:lang w:val="en-US" w:eastAsia="zh-CN"/>
        </w:rPr>
        <w:t>148.03</w:t>
      </w:r>
      <w:r>
        <w:rPr>
          <w:rFonts w:hint="eastAsia" w:cs="黑体" w:asciiTheme="minorEastAsia" w:hAnsiTheme="minorEastAsia"/>
          <w:color w:val="000000"/>
          <w:kern w:val="0"/>
          <w:sz w:val="32"/>
          <w:szCs w:val="32"/>
        </w:rPr>
        <w:t>万元、政府采购服务支出</w:t>
      </w:r>
      <w:r>
        <w:rPr>
          <w:rFonts w:hint="eastAsia" w:cs="黑体" w:asciiTheme="minorEastAsia" w:hAnsiTheme="minorEastAsia"/>
          <w:color w:val="000000"/>
          <w:kern w:val="0"/>
          <w:sz w:val="32"/>
          <w:szCs w:val="32"/>
          <w:lang w:val="en-US" w:eastAsia="zh-CN"/>
        </w:rPr>
        <w:t>1719.7</w:t>
      </w:r>
      <w:r>
        <w:rPr>
          <w:rFonts w:hint="eastAsia" w:cs="黑体" w:asciiTheme="minorEastAsia" w:hAnsiTheme="minorEastAsia"/>
          <w:color w:val="000000"/>
          <w:kern w:val="0"/>
          <w:sz w:val="32"/>
          <w:szCs w:val="32"/>
        </w:rPr>
        <w:t>万元。</w:t>
      </w:r>
      <w:r>
        <w:rPr>
          <w:rFonts w:hint="eastAsia" w:cs="黑体" w:asciiTheme="minorEastAsia" w:hAnsiTheme="minorEastAsia"/>
          <w:color w:val="000000"/>
          <w:kern w:val="0"/>
          <w:sz w:val="32"/>
          <w:szCs w:val="32"/>
          <w:lang w:eastAsia="zh-CN"/>
        </w:rPr>
        <w:t>本年授予中小企业合同金额为</w:t>
      </w:r>
      <w:r>
        <w:rPr>
          <w:rFonts w:hint="eastAsia" w:cs="黑体" w:asciiTheme="minorEastAsia" w:hAnsiTheme="minorEastAsia"/>
          <w:color w:val="000000"/>
          <w:kern w:val="0"/>
          <w:sz w:val="32"/>
          <w:szCs w:val="32"/>
          <w:lang w:val="en-US" w:eastAsia="zh-CN"/>
        </w:rPr>
        <w:t>9466.32万元，占政府采购金</w:t>
      </w:r>
      <w:bookmarkStart w:id="10" w:name="_GoBack"/>
      <w:bookmarkEnd w:id="10"/>
      <w:r>
        <w:rPr>
          <w:rFonts w:hint="eastAsia" w:cs="黑体" w:asciiTheme="minorEastAsia" w:hAnsiTheme="minorEastAsia"/>
          <w:color w:val="000000"/>
          <w:kern w:val="0"/>
          <w:sz w:val="32"/>
          <w:szCs w:val="32"/>
          <w:lang w:val="en-US" w:eastAsia="zh-CN"/>
        </w:rPr>
        <w:t>额的100%。</w:t>
      </w:r>
      <w:r>
        <w:rPr>
          <w:rFonts w:hint="eastAsia" w:cs="黑体" w:asciiTheme="minorEastAsia" w:hAnsiTheme="minorEastAsia"/>
          <w:color w:val="000000"/>
          <w:kern w:val="0"/>
          <w:sz w:val="32"/>
          <w:szCs w:val="32"/>
        </w:rPr>
        <w:t>（政府采购金额的计算口径为：本部门纳入2019年度部门预算范围的各项政府采购支出金额之和，不包括涉密采购项目的支出金额）</w:t>
      </w:r>
    </w:p>
    <w:p>
      <w:pPr>
        <w:ind w:firstLine="480" w:firstLineChars="15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（四）国有资产占用情况</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截至2019年12月31日，本单位共有车辆</w:t>
      </w:r>
      <w:r>
        <w:rPr>
          <w:rFonts w:hint="eastAsia" w:cs="黑体" w:asciiTheme="minorEastAsia" w:hAnsiTheme="minorEastAsia"/>
          <w:color w:val="000000"/>
          <w:kern w:val="0"/>
          <w:sz w:val="32"/>
          <w:szCs w:val="32"/>
          <w:lang w:val="en-US" w:eastAsia="zh-CN"/>
        </w:rPr>
        <w:t>46</w:t>
      </w:r>
      <w:r>
        <w:rPr>
          <w:rFonts w:hint="eastAsia" w:cs="黑体" w:asciiTheme="minorEastAsia" w:hAnsiTheme="minorEastAsia"/>
          <w:color w:val="000000"/>
          <w:kern w:val="0"/>
          <w:sz w:val="32"/>
          <w:szCs w:val="32"/>
        </w:rPr>
        <w:t>辆，其中，领导干部用车</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辆、机要通信用车</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辆、执法执勤用车</w:t>
      </w:r>
      <w:r>
        <w:rPr>
          <w:rFonts w:hint="eastAsia" w:cs="黑体" w:asciiTheme="minorEastAsia" w:hAnsiTheme="minorEastAsia"/>
          <w:color w:val="000000"/>
          <w:kern w:val="0"/>
          <w:sz w:val="32"/>
          <w:szCs w:val="32"/>
          <w:lang w:val="en-US" w:eastAsia="zh-CN"/>
        </w:rPr>
        <w:t>2</w:t>
      </w:r>
      <w:r>
        <w:rPr>
          <w:rFonts w:hint="eastAsia" w:cs="黑体" w:asciiTheme="minorEastAsia" w:hAnsiTheme="minorEastAsia"/>
          <w:color w:val="000000"/>
          <w:kern w:val="0"/>
          <w:sz w:val="32"/>
          <w:szCs w:val="32"/>
        </w:rPr>
        <w:t>辆、特种专业技术用车</w:t>
      </w:r>
      <w:r>
        <w:rPr>
          <w:rFonts w:hint="eastAsia" w:cs="黑体" w:asciiTheme="minorEastAsia" w:hAnsiTheme="minorEastAsia"/>
          <w:color w:val="000000"/>
          <w:kern w:val="0"/>
          <w:sz w:val="32"/>
          <w:szCs w:val="32"/>
          <w:lang w:val="en-US" w:eastAsia="zh-CN"/>
        </w:rPr>
        <w:t>7</w:t>
      </w:r>
      <w:r>
        <w:rPr>
          <w:rFonts w:hint="eastAsia" w:cs="黑体" w:asciiTheme="minorEastAsia" w:hAnsiTheme="minorEastAsia"/>
          <w:color w:val="000000"/>
          <w:kern w:val="0"/>
          <w:sz w:val="32"/>
          <w:szCs w:val="32"/>
        </w:rPr>
        <w:t>辆、</w:t>
      </w:r>
      <w:r>
        <w:rPr>
          <w:rFonts w:hint="eastAsia" w:cs="黑体" w:asciiTheme="minorEastAsia" w:hAnsiTheme="minorEastAsia"/>
          <w:color w:val="000000"/>
          <w:kern w:val="0"/>
          <w:sz w:val="32"/>
          <w:szCs w:val="32"/>
          <w:lang w:val="en-US" w:eastAsia="zh-CN"/>
        </w:rPr>
        <w:t>离退休干部用车1辆、一般公务用车35辆</w:t>
      </w:r>
      <w:r>
        <w:rPr>
          <w:rFonts w:hint="eastAsia" w:cs="黑体" w:asciiTheme="minorEastAsia" w:hAnsiTheme="minorEastAsia"/>
          <w:color w:val="000000"/>
          <w:kern w:val="0"/>
          <w:sz w:val="32"/>
          <w:szCs w:val="32"/>
        </w:rPr>
        <w:t>；单位价值50万元以上通用设备</w:t>
      </w:r>
      <w:r>
        <w:rPr>
          <w:rFonts w:hint="eastAsia" w:cs="黑体" w:asciiTheme="minorEastAsia" w:hAnsiTheme="minorEastAsia"/>
          <w:color w:val="000000"/>
          <w:kern w:val="0"/>
          <w:sz w:val="32"/>
          <w:szCs w:val="32"/>
          <w:lang w:val="en-US" w:eastAsia="zh-CN"/>
        </w:rPr>
        <w:t>15</w:t>
      </w:r>
      <w:r>
        <w:rPr>
          <w:rFonts w:hint="eastAsia" w:cs="黑体" w:asciiTheme="minorEastAsia" w:hAnsiTheme="minorEastAsia"/>
          <w:color w:val="000000"/>
          <w:kern w:val="0"/>
          <w:sz w:val="32"/>
          <w:szCs w:val="32"/>
        </w:rPr>
        <w:t>台（套）；单位价值100万元以上专用设备</w:t>
      </w:r>
      <w:r>
        <w:rPr>
          <w:rFonts w:hint="eastAsia" w:cs="黑体" w:asciiTheme="minorEastAsia" w:hAnsiTheme="minorEastAsia"/>
          <w:color w:val="000000"/>
          <w:kern w:val="0"/>
          <w:sz w:val="32"/>
          <w:szCs w:val="32"/>
          <w:lang w:val="en-US" w:eastAsia="zh-CN"/>
        </w:rPr>
        <w:t>13</w:t>
      </w:r>
      <w:r>
        <w:rPr>
          <w:rFonts w:hint="eastAsia" w:cs="黑体" w:asciiTheme="minorEastAsia" w:hAnsiTheme="minorEastAsia"/>
          <w:color w:val="000000"/>
          <w:kern w:val="0"/>
          <w:sz w:val="32"/>
          <w:szCs w:val="32"/>
        </w:rPr>
        <w:t>台（套）。</w:t>
      </w:r>
    </w:p>
    <w:p>
      <w:pPr>
        <w:widowControl/>
        <w:jc w:val="left"/>
        <w:rPr>
          <w:rFonts w:cs="黑体" w:asciiTheme="minorEastAsia" w:hAnsiTheme="minorEastAsia"/>
          <w:color w:val="000000"/>
          <w:kern w:val="0"/>
          <w:sz w:val="32"/>
          <w:szCs w:val="32"/>
        </w:rPr>
      </w:pPr>
      <w:r>
        <w:rPr>
          <w:rFonts w:cs="黑体" w:asciiTheme="minorEastAsia" w:hAnsiTheme="minorEastAsia"/>
          <w:color w:val="000000"/>
          <w:kern w:val="0"/>
          <w:sz w:val="32"/>
          <w:szCs w:val="32"/>
        </w:rPr>
        <w:br w:type="page"/>
      </w:r>
    </w:p>
    <w:p>
      <w:pPr>
        <w:ind w:firstLine="640" w:firstLineChars="200"/>
        <w:rPr>
          <w:rFonts w:cs="黑体" w:asciiTheme="minorEastAsia" w:hAnsiTheme="minorEastAsia"/>
          <w:color w:val="000000"/>
          <w:kern w:val="0"/>
          <w:sz w:val="32"/>
          <w:szCs w:val="32"/>
        </w:rPr>
      </w:pPr>
    </w:p>
    <w:p>
      <w:pPr>
        <w:pStyle w:val="11"/>
        <w:jc w:val="both"/>
        <w:rPr>
          <w:sz w:val="72"/>
          <w:szCs w:val="72"/>
        </w:rPr>
      </w:pPr>
    </w:p>
    <w:p>
      <w:pPr>
        <w:pStyle w:val="11"/>
        <w:jc w:val="center"/>
        <w:rPr>
          <w:sz w:val="72"/>
          <w:szCs w:val="72"/>
        </w:rPr>
      </w:pPr>
    </w:p>
    <w:p>
      <w:pPr>
        <w:pStyle w:val="11"/>
        <w:jc w:val="both"/>
        <w:rPr>
          <w:sz w:val="72"/>
          <w:szCs w:val="72"/>
        </w:rPr>
      </w:pPr>
    </w:p>
    <w:p>
      <w:pPr>
        <w:pStyle w:val="11"/>
        <w:jc w:val="center"/>
        <w:rPr>
          <w:sz w:val="72"/>
          <w:szCs w:val="72"/>
        </w:rPr>
      </w:pPr>
    </w:p>
    <w:p>
      <w:pPr>
        <w:pStyle w:val="11"/>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sz w:val="32"/>
        </w:rPr>
      </w:pPr>
      <w:r>
        <w:rPr>
          <w:rFonts w:hint="eastAsia" w:ascii="仿宋_GB2312" w:hAnsi="仿宋_GB2312" w:eastAsia="仿宋_GB2312"/>
          <w:b/>
          <w:sz w:val="32"/>
          <w:lang w:val="en-US" w:eastAsia="zh-CN"/>
        </w:rPr>
        <w:t>1</w:t>
      </w:r>
      <w:r>
        <w:rPr>
          <w:rFonts w:hint="eastAsia" w:ascii="仿宋_GB2312" w:hAnsi="仿宋_GB2312" w:eastAsia="仿宋_GB2312"/>
          <w:b/>
          <w:sz w:val="32"/>
          <w:lang w:eastAsia="zh-CN"/>
        </w:rPr>
        <w:t>、</w:t>
      </w:r>
      <w:r>
        <w:rPr>
          <w:rFonts w:ascii="仿宋_GB2312" w:hAnsi="仿宋_GB2312" w:eastAsia="仿宋_GB2312"/>
          <w:b/>
          <w:sz w:val="32"/>
        </w:rPr>
        <w:t>财政拨款收入</w:t>
      </w:r>
      <w:r>
        <w:rPr>
          <w:rFonts w:ascii="仿宋_GB2312" w:hAnsi="仿宋_GB2312" w:eastAsia="仿宋_GB2312"/>
          <w:sz w:val="32"/>
        </w:rPr>
        <w:t>：指财政当年拨付的资金。</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Times New Roman" w:hAnsi="Times New Roman" w:eastAsia="Times New Roman"/>
        </w:rPr>
      </w:pPr>
      <w:r>
        <w:rPr>
          <w:rFonts w:hint="eastAsia" w:ascii="仿宋_GB2312" w:hAnsi="仿宋_GB2312" w:eastAsia="仿宋_GB2312"/>
          <w:b/>
          <w:sz w:val="32"/>
          <w:lang w:val="en-US" w:eastAsia="zh-CN"/>
        </w:rPr>
        <w:t>2</w:t>
      </w:r>
      <w:r>
        <w:rPr>
          <w:rFonts w:hint="eastAsia" w:ascii="仿宋_GB2312" w:hAnsi="仿宋_GB2312" w:eastAsia="仿宋_GB2312"/>
          <w:b/>
          <w:sz w:val="32"/>
          <w:lang w:eastAsia="zh-CN"/>
        </w:rPr>
        <w:t>、</w:t>
      </w:r>
      <w:r>
        <w:rPr>
          <w:rFonts w:ascii="仿宋_GB2312" w:hAnsi="仿宋_GB2312" w:eastAsia="仿宋_GB2312"/>
          <w:b/>
          <w:sz w:val="32"/>
        </w:rPr>
        <w:t>事业收入</w:t>
      </w:r>
      <w:r>
        <w:rPr>
          <w:rFonts w:ascii="仿宋_GB2312" w:hAnsi="仿宋_GB2312" w:eastAsia="仿宋_GB2312"/>
          <w:sz w:val="32"/>
        </w:rPr>
        <w:t>：指事业单位开展专业业务活动及辅助活动所取得的收入。</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sz w:val="32"/>
        </w:rPr>
      </w:pPr>
      <w:r>
        <w:rPr>
          <w:rFonts w:hint="eastAsia" w:ascii="仿宋_GB2312" w:hAnsi="仿宋_GB2312" w:eastAsia="仿宋_GB2312"/>
          <w:b/>
          <w:sz w:val="32"/>
          <w:lang w:val="en-US" w:eastAsia="zh-CN"/>
        </w:rPr>
        <w:t>3、</w:t>
      </w:r>
      <w:r>
        <w:rPr>
          <w:rFonts w:ascii="仿宋_GB2312" w:hAnsi="仿宋_GB2312" w:eastAsia="仿宋_GB2312"/>
          <w:b/>
          <w:sz w:val="32"/>
        </w:rPr>
        <w:t>经营收入</w:t>
      </w:r>
      <w:r>
        <w:rPr>
          <w:rFonts w:ascii="仿宋_GB2312" w:hAnsi="仿宋_GB2312" w:eastAsia="仿宋_GB2312"/>
          <w:sz w:val="32"/>
        </w:rPr>
        <w:t>：指事业单位在专业业务活动及其辅助活动之外开展非独立核算经营活动取得的收入。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sz w:val="32"/>
        </w:rPr>
      </w:pPr>
      <w:r>
        <w:rPr>
          <w:rFonts w:hint="eastAsia" w:ascii="仿宋_GB2312" w:hAnsi="仿宋_GB2312" w:eastAsia="仿宋_GB2312"/>
          <w:b/>
          <w:sz w:val="32"/>
          <w:lang w:val="en-US" w:eastAsia="zh-CN"/>
        </w:rPr>
        <w:t>4、</w:t>
      </w:r>
      <w:r>
        <w:rPr>
          <w:rFonts w:ascii="仿宋_GB2312" w:hAnsi="仿宋_GB2312" w:eastAsia="仿宋_GB2312"/>
          <w:b/>
          <w:sz w:val="32"/>
        </w:rPr>
        <w:t>其他收入</w:t>
      </w:r>
      <w:r>
        <w:rPr>
          <w:rFonts w:ascii="仿宋_GB2312" w:hAnsi="仿宋_GB2312" w:eastAsia="仿宋_GB2312"/>
          <w:sz w:val="32"/>
        </w:rPr>
        <w:t>：指除上述</w:t>
      </w:r>
      <w:r>
        <w:rPr>
          <w:rFonts w:ascii="Arial" w:hAnsi="Arial" w:eastAsia="Arial"/>
          <w:sz w:val="32"/>
        </w:rPr>
        <w:t>“</w:t>
      </w:r>
      <w:r>
        <w:rPr>
          <w:rFonts w:ascii="仿宋_GB2312" w:hAnsi="仿宋_GB2312" w:eastAsia="仿宋_GB2312"/>
          <w:sz w:val="32"/>
        </w:rPr>
        <w:t>财政拨款收入</w:t>
      </w:r>
      <w:r>
        <w:rPr>
          <w:rFonts w:ascii="Arial" w:hAnsi="Arial" w:eastAsia="Arial"/>
          <w:sz w:val="32"/>
        </w:rPr>
        <w:t>”</w:t>
      </w:r>
      <w:r>
        <w:rPr>
          <w:rFonts w:ascii="仿宋_GB2312" w:hAnsi="仿宋_GB2312" w:eastAsia="仿宋_GB2312"/>
          <w:sz w:val="32"/>
        </w:rPr>
        <w:t>、</w:t>
      </w:r>
      <w:r>
        <w:rPr>
          <w:rFonts w:ascii="Arial" w:hAnsi="Arial" w:eastAsia="Arial"/>
          <w:sz w:val="32"/>
        </w:rPr>
        <w:t>“</w:t>
      </w:r>
      <w:r>
        <w:rPr>
          <w:rFonts w:ascii="仿宋_GB2312" w:hAnsi="仿宋_GB2312" w:eastAsia="仿宋_GB2312"/>
          <w:sz w:val="32"/>
        </w:rPr>
        <w:t>事业收入</w:t>
      </w:r>
      <w:r>
        <w:rPr>
          <w:rFonts w:ascii="Arial" w:hAnsi="Arial" w:eastAsia="Arial"/>
          <w:sz w:val="32"/>
        </w:rPr>
        <w:t>”</w:t>
      </w:r>
      <w:r>
        <w:rPr>
          <w:rFonts w:ascii="仿宋_GB2312" w:hAnsi="仿宋_GB2312" w:eastAsia="仿宋_GB2312"/>
          <w:sz w:val="32"/>
        </w:rPr>
        <w:t>、</w:t>
      </w:r>
      <w:r>
        <w:rPr>
          <w:rFonts w:ascii="Arial" w:hAnsi="Arial" w:eastAsia="Arial"/>
          <w:sz w:val="32"/>
        </w:rPr>
        <w:t>“</w:t>
      </w:r>
      <w:r>
        <w:rPr>
          <w:rFonts w:ascii="仿宋_GB2312" w:hAnsi="仿宋_GB2312" w:eastAsia="仿宋_GB2312"/>
          <w:sz w:val="32"/>
        </w:rPr>
        <w:t>经营收入</w:t>
      </w:r>
      <w:r>
        <w:rPr>
          <w:rFonts w:ascii="Arial" w:hAnsi="Arial" w:eastAsia="Arial"/>
          <w:sz w:val="32"/>
        </w:rPr>
        <w:t>”</w:t>
      </w:r>
      <w:r>
        <w:rPr>
          <w:rFonts w:ascii="仿宋_GB2312" w:hAnsi="仿宋_GB2312" w:eastAsia="仿宋_GB2312"/>
          <w:sz w:val="32"/>
        </w:rPr>
        <w:t>等以外的收入。</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sz w:val="32"/>
        </w:rPr>
      </w:pPr>
      <w:r>
        <w:rPr>
          <w:rFonts w:hint="eastAsia" w:ascii="仿宋_GB2312" w:hAnsi="仿宋_GB2312" w:eastAsia="仿宋_GB2312"/>
          <w:b/>
          <w:sz w:val="32"/>
          <w:lang w:val="en-US" w:eastAsia="zh-CN"/>
        </w:rPr>
        <w:t>5</w:t>
      </w:r>
      <w:r>
        <w:rPr>
          <w:rFonts w:ascii="仿宋_GB2312" w:hAnsi="仿宋_GB2312" w:eastAsia="仿宋_GB2312"/>
          <w:b/>
          <w:sz w:val="32"/>
        </w:rPr>
        <w:t>、用事业基金弥补收支差额</w:t>
      </w:r>
      <w:r>
        <w:rPr>
          <w:rFonts w:ascii="仿宋_GB2312" w:hAnsi="仿宋_GB2312" w:eastAsia="仿宋_GB2312"/>
          <w:sz w:val="32"/>
        </w:rPr>
        <w:t>：指事业单位在当年的</w:t>
      </w:r>
      <w:r>
        <w:rPr>
          <w:rFonts w:ascii="Arial" w:hAnsi="Arial" w:eastAsia="Arial"/>
          <w:sz w:val="32"/>
        </w:rPr>
        <w:t>“</w:t>
      </w:r>
      <w:r>
        <w:rPr>
          <w:rFonts w:ascii="仿宋_GB2312" w:hAnsi="仿宋_GB2312" w:eastAsia="仿宋_GB2312"/>
          <w:sz w:val="32"/>
        </w:rPr>
        <w:t>财政拨款收入</w:t>
      </w:r>
      <w:r>
        <w:rPr>
          <w:rFonts w:ascii="Arial" w:hAnsi="Arial" w:eastAsia="Arial"/>
          <w:sz w:val="32"/>
        </w:rPr>
        <w:t>”</w:t>
      </w:r>
      <w:r>
        <w:rPr>
          <w:rFonts w:ascii="仿宋_GB2312" w:hAnsi="仿宋_GB2312" w:eastAsia="仿宋_GB2312"/>
          <w:sz w:val="32"/>
        </w:rPr>
        <w:t>、</w:t>
      </w:r>
      <w:r>
        <w:rPr>
          <w:rFonts w:ascii="Arial" w:hAnsi="Arial" w:eastAsia="Arial"/>
          <w:sz w:val="32"/>
        </w:rPr>
        <w:t>“</w:t>
      </w:r>
      <w:r>
        <w:rPr>
          <w:rFonts w:ascii="仿宋_GB2312" w:hAnsi="仿宋_GB2312" w:eastAsia="仿宋_GB2312"/>
          <w:sz w:val="32"/>
        </w:rPr>
        <w:t>事业收入</w:t>
      </w:r>
      <w:r>
        <w:rPr>
          <w:rFonts w:ascii="Arial" w:hAnsi="Arial" w:eastAsia="Arial"/>
          <w:sz w:val="32"/>
        </w:rPr>
        <w:t>”</w:t>
      </w:r>
      <w:r>
        <w:rPr>
          <w:rFonts w:ascii="仿宋_GB2312" w:hAnsi="仿宋_GB2312" w:eastAsia="仿宋_GB2312"/>
          <w:sz w:val="32"/>
        </w:rPr>
        <w:t>、</w:t>
      </w:r>
      <w:r>
        <w:rPr>
          <w:rFonts w:ascii="Arial" w:hAnsi="Arial" w:eastAsia="Arial"/>
          <w:sz w:val="32"/>
        </w:rPr>
        <w:t>“</w:t>
      </w:r>
      <w:r>
        <w:rPr>
          <w:rFonts w:ascii="仿宋_GB2312" w:hAnsi="仿宋_GB2312" w:eastAsia="仿宋_GB2312"/>
          <w:sz w:val="32"/>
        </w:rPr>
        <w:t>经营收入</w:t>
      </w:r>
      <w:r>
        <w:rPr>
          <w:rFonts w:ascii="Arial" w:hAnsi="Arial" w:eastAsia="Arial"/>
          <w:sz w:val="32"/>
        </w:rPr>
        <w:t>”</w:t>
      </w:r>
      <w:r>
        <w:rPr>
          <w:rFonts w:ascii="仿宋_GB2312" w:hAnsi="仿宋_GB2312" w:eastAsia="仿宋_GB2312"/>
          <w:sz w:val="32"/>
        </w:rPr>
        <w:t>、</w:t>
      </w:r>
      <w:r>
        <w:rPr>
          <w:rFonts w:ascii="Arial" w:hAnsi="Arial" w:eastAsia="Arial"/>
          <w:sz w:val="32"/>
        </w:rPr>
        <w:t>“</w:t>
      </w:r>
      <w:r>
        <w:rPr>
          <w:rFonts w:ascii="仿宋_GB2312" w:hAnsi="仿宋_GB2312" w:eastAsia="仿宋_GB2312"/>
          <w:sz w:val="32"/>
        </w:rPr>
        <w:t>其他收入</w:t>
      </w:r>
      <w:r>
        <w:rPr>
          <w:rFonts w:ascii="Arial" w:hAnsi="Arial" w:eastAsia="Arial"/>
          <w:sz w:val="32"/>
        </w:rPr>
        <w:t>”</w:t>
      </w:r>
      <w:r>
        <w:rPr>
          <w:rFonts w:ascii="仿宋_GB2312" w:hAnsi="仿宋_GB2312" w:eastAsia="仿宋_GB2312"/>
          <w:sz w:val="32"/>
        </w:rPr>
        <w:t>不足以安排当年支出的情况下，使用以前年度积累的事业基金（事业单位当年收支相抵后按国家规定提取、用于弥补以后年度收支差额的基金）弥补本年度收支缺口的资金。</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Times New Roman" w:hAnsi="Times New Roman" w:eastAsia="Times New Roman"/>
        </w:rPr>
      </w:pPr>
      <w:r>
        <w:rPr>
          <w:rFonts w:hint="eastAsia" w:ascii="仿宋_GB2312" w:hAnsi="仿宋_GB2312" w:eastAsia="仿宋_GB2312"/>
          <w:b/>
          <w:sz w:val="32"/>
          <w:lang w:val="en-US" w:eastAsia="zh-CN"/>
        </w:rPr>
        <w:t>6</w:t>
      </w:r>
      <w:r>
        <w:rPr>
          <w:rFonts w:ascii="仿宋_GB2312" w:hAnsi="仿宋_GB2312" w:eastAsia="仿宋_GB2312"/>
          <w:b/>
          <w:sz w:val="32"/>
        </w:rPr>
        <w:t>、年初结转和结余</w:t>
      </w:r>
      <w:r>
        <w:rPr>
          <w:rFonts w:ascii="仿宋_GB2312" w:hAnsi="仿宋_GB2312" w:eastAsia="仿宋_GB2312"/>
          <w:sz w:val="32"/>
        </w:rPr>
        <w:t>：指以前年度尚未完成、结转到本年按有关规定继续使用的资金。</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sz w:val="32"/>
        </w:rPr>
      </w:pPr>
      <w:r>
        <w:rPr>
          <w:rFonts w:hint="eastAsia" w:ascii="仿宋_GB2312" w:hAnsi="仿宋_GB2312" w:eastAsia="仿宋_GB2312"/>
          <w:b/>
          <w:sz w:val="32"/>
          <w:lang w:val="en-US" w:eastAsia="zh-CN"/>
        </w:rPr>
        <w:t>7</w:t>
      </w:r>
      <w:r>
        <w:rPr>
          <w:rFonts w:ascii="仿宋_GB2312" w:hAnsi="仿宋_GB2312" w:eastAsia="仿宋_GB2312"/>
          <w:b/>
          <w:sz w:val="32"/>
        </w:rPr>
        <w:t>、结余分配</w:t>
      </w:r>
      <w:r>
        <w:rPr>
          <w:rFonts w:ascii="仿宋_GB2312" w:hAnsi="仿宋_GB2312" w:eastAsia="仿宋_GB2312"/>
          <w:sz w:val="32"/>
        </w:rPr>
        <w:t>：指事业单位按规定提取的职工福利基金、事业基金和缴纳的所得税，以及建设单位按规定应交回的基本建设竣工项目结余资金。</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200"/>
        <w:jc w:val="both"/>
        <w:textAlignment w:val="auto"/>
        <w:outlineLvl w:val="9"/>
        <w:rPr>
          <w:rFonts w:ascii="仿宋_GB2312" w:hAnsi="仿宋_GB2312" w:eastAsia="仿宋_GB2312"/>
          <w:sz w:val="32"/>
        </w:rPr>
      </w:pPr>
      <w:r>
        <w:rPr>
          <w:rFonts w:hint="eastAsia" w:ascii="仿宋_GB2312" w:hAnsi="仿宋_GB2312" w:eastAsia="仿宋_GB2312"/>
          <w:b/>
          <w:bCs w:val="0"/>
          <w:sz w:val="30"/>
          <w:lang w:val="en-US" w:eastAsia="zh-CN"/>
        </w:rPr>
        <w:t>8</w:t>
      </w:r>
      <w:r>
        <w:rPr>
          <w:rFonts w:ascii="仿宋_GB2312" w:hAnsi="仿宋_GB2312" w:eastAsia="仿宋_GB2312"/>
          <w:b/>
          <w:bCs w:val="0"/>
          <w:sz w:val="30"/>
        </w:rPr>
        <w:t>、年末结转和结余</w:t>
      </w:r>
      <w:r>
        <w:rPr>
          <w:rFonts w:hint="eastAsia" w:ascii="仿宋_GB2312" w:hAnsi="仿宋_GB2312" w:eastAsia="仿宋_GB2312"/>
          <w:b/>
          <w:bCs w:val="0"/>
          <w:sz w:val="30"/>
          <w:lang w:eastAsia="zh-CN"/>
        </w:rPr>
        <w:t>：</w:t>
      </w:r>
      <w:r>
        <w:rPr>
          <w:rFonts w:ascii="仿宋_GB2312" w:hAnsi="仿宋_GB2312" w:eastAsia="仿宋_GB2312"/>
          <w:sz w:val="30"/>
        </w:rPr>
        <w:t>指本年度或以前年度预算安排、</w:t>
      </w:r>
      <w:r>
        <w:rPr>
          <w:rFonts w:ascii="仿宋_GB2312" w:hAnsi="仿宋_GB2312" w:eastAsia="仿宋_GB2312"/>
          <w:sz w:val="32"/>
        </w:rPr>
        <w:t>因客观条件发生变化无法按原计划实施，需延迟到以后年度按</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ascii="仿宋_GB2312" w:hAnsi="仿宋_GB2312" w:eastAsia="仿宋_GB2312"/>
          <w:sz w:val="32"/>
        </w:rPr>
      </w:pPr>
      <w:r>
        <w:rPr>
          <w:rFonts w:ascii="仿宋_GB2312" w:hAnsi="仿宋_GB2312" w:eastAsia="仿宋_GB2312"/>
          <w:sz w:val="32"/>
        </w:rPr>
        <w:t>有关规定继续使用的资金。</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ascii="仿宋_GB2312" w:hAnsi="仿宋_GB2312" w:eastAsia="仿宋_GB2312"/>
          <w:sz w:val="32"/>
        </w:rPr>
      </w:pPr>
      <w:r>
        <w:rPr>
          <w:rFonts w:hint="eastAsia" w:ascii="仿宋_GB2312" w:hAnsi="仿宋_GB2312" w:eastAsia="仿宋_GB2312"/>
          <w:b/>
          <w:sz w:val="32"/>
          <w:lang w:val="en-US" w:eastAsia="zh-CN"/>
        </w:rPr>
        <w:t>9</w:t>
      </w:r>
      <w:r>
        <w:rPr>
          <w:rFonts w:ascii="仿宋_GB2312" w:hAnsi="仿宋_GB2312" w:eastAsia="仿宋_GB2312"/>
          <w:b/>
          <w:sz w:val="32"/>
        </w:rPr>
        <w:t>、基本支出</w:t>
      </w:r>
      <w:r>
        <w:rPr>
          <w:rFonts w:ascii="仿宋_GB2312" w:hAnsi="仿宋_GB2312" w:eastAsia="仿宋_GB2312"/>
          <w:sz w:val="32"/>
        </w:rPr>
        <w:t>：指为保障机构正常运转、完成日常工作任务而发生的人员支出和公用支出。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sz w:val="32"/>
        </w:rPr>
      </w:pPr>
      <w:r>
        <w:rPr>
          <w:rFonts w:hint="eastAsia" w:ascii="仿宋_GB2312" w:hAnsi="仿宋_GB2312" w:eastAsia="仿宋_GB2312" w:cs="仿宋_GB2312"/>
          <w:b/>
          <w:bCs/>
          <w:sz w:val="32"/>
          <w:szCs w:val="32"/>
          <w:lang w:val="en-US" w:eastAsia="zh-CN"/>
        </w:rPr>
        <w:t>10</w:t>
      </w:r>
      <w:r>
        <w:rPr>
          <w:rFonts w:hint="eastAsia" w:ascii="仿宋_GB2312" w:hAnsi="仿宋_GB2312" w:eastAsia="仿宋_GB2312" w:cs="仿宋_GB2312"/>
          <w:b/>
          <w:bCs/>
          <w:sz w:val="32"/>
          <w:szCs w:val="32"/>
        </w:rPr>
        <w:t>、项目支出</w:t>
      </w:r>
      <w:r>
        <w:rPr>
          <w:rFonts w:ascii="仿宋_GB2312" w:hAnsi="仿宋_GB2312" w:eastAsia="仿宋_GB2312"/>
          <w:sz w:val="32"/>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sz w:val="32"/>
        </w:rPr>
      </w:pPr>
      <w:r>
        <w:rPr>
          <w:rFonts w:hint="eastAsia" w:ascii="仿宋_GB2312" w:hAnsi="仿宋_GB2312" w:eastAsia="仿宋_GB2312" w:cs="仿宋_GB2312"/>
          <w:b/>
          <w:bCs/>
          <w:sz w:val="32"/>
          <w:szCs w:val="32"/>
          <w:lang w:val="en-US" w:eastAsia="zh-CN"/>
        </w:rPr>
        <w:t>11</w:t>
      </w:r>
      <w:r>
        <w:rPr>
          <w:rFonts w:hint="eastAsia" w:ascii="仿宋_GB2312" w:hAnsi="仿宋_GB2312" w:eastAsia="仿宋_GB2312" w:cs="仿宋_GB2312"/>
          <w:b/>
          <w:bCs/>
          <w:sz w:val="32"/>
          <w:szCs w:val="32"/>
        </w:rPr>
        <w:t>、经营支出</w:t>
      </w:r>
      <w:r>
        <w:rPr>
          <w:rFonts w:ascii="仿宋_GB2312" w:hAnsi="仿宋_GB2312" w:eastAsia="仿宋_GB2312"/>
          <w:sz w:val="32"/>
        </w:rPr>
        <w:t>：指事业单位在专业业务活动及其辅助活动之外开展非独立核算经营活动发生的支出。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_GB2312" w:eastAsia="仿宋_GB2312"/>
          <w:sz w:val="32"/>
        </w:rPr>
      </w:pPr>
      <w:r>
        <w:rPr>
          <w:rFonts w:hint="eastAsia" w:ascii="仿宋_GB2312" w:hAnsi="仿宋_GB2312" w:eastAsia="仿宋_GB2312"/>
          <w:b/>
          <w:sz w:val="32"/>
          <w:lang w:val="en-US" w:eastAsia="zh-CN"/>
        </w:rPr>
        <w:t>12、</w:t>
      </w:r>
      <w:r>
        <w:rPr>
          <w:rFonts w:ascii="Arial" w:hAnsi="Arial" w:eastAsia="Arial"/>
          <w:b/>
          <w:sz w:val="32"/>
        </w:rPr>
        <w:t>“</w:t>
      </w:r>
      <w:r>
        <w:rPr>
          <w:rFonts w:ascii="仿宋_GB2312" w:hAnsi="仿宋_GB2312" w:eastAsia="仿宋_GB2312"/>
          <w:b/>
          <w:sz w:val="32"/>
        </w:rPr>
        <w:t>三公</w:t>
      </w:r>
      <w:r>
        <w:rPr>
          <w:rFonts w:ascii="Arial" w:hAnsi="Arial" w:eastAsia="Arial"/>
          <w:b/>
          <w:sz w:val="32"/>
        </w:rPr>
        <w:t>”</w:t>
      </w:r>
      <w:r>
        <w:rPr>
          <w:rFonts w:ascii="仿宋_GB2312" w:hAnsi="仿宋_GB2312" w:eastAsia="仿宋_GB2312"/>
          <w:b/>
          <w:sz w:val="32"/>
        </w:rPr>
        <w:t>经费</w:t>
      </w:r>
      <w:r>
        <w:rPr>
          <w:rFonts w:ascii="仿宋_GB2312" w:hAnsi="仿宋_GB2312" w:eastAsia="仿宋_GB2312"/>
          <w:sz w:val="32"/>
        </w:rPr>
        <w:t>：纳入财政预决算管理的</w:t>
      </w:r>
      <w:r>
        <w:rPr>
          <w:rFonts w:ascii="Arial" w:hAnsi="Arial" w:eastAsia="Arial"/>
          <w:sz w:val="32"/>
        </w:rPr>
        <w:t>“</w:t>
      </w:r>
      <w:r>
        <w:rPr>
          <w:rFonts w:ascii="仿宋_GB2312" w:hAnsi="仿宋_GB2312" w:eastAsia="仿宋_GB2312"/>
          <w:sz w:val="32"/>
        </w:rPr>
        <w:t>三</w:t>
      </w:r>
      <w:r>
        <w:rPr>
          <w:rFonts w:ascii="仿宋_GB2312" w:hAnsi="仿宋_GB2312" w:eastAsia="仿宋_GB2312"/>
          <w:sz w:val="31"/>
        </w:rPr>
        <w:t>公</w:t>
      </w:r>
      <w:r>
        <w:rPr>
          <w:rFonts w:ascii="Arial" w:hAnsi="Arial" w:eastAsia="Arial"/>
          <w:sz w:val="31"/>
        </w:rPr>
        <w:t>”</w:t>
      </w:r>
      <w:r>
        <w:rPr>
          <w:rFonts w:ascii="仿宋_GB2312" w:hAnsi="仿宋_GB2312" w:eastAsia="仿宋_GB2312"/>
          <w:sz w:val="31"/>
        </w:rPr>
        <w:t>经费，是指部门用财政拨款安排的因公出国（境）费、</w:t>
      </w:r>
      <w:r>
        <w:rPr>
          <w:rFonts w:ascii="仿宋_GB2312" w:hAnsi="仿宋_GB2312" w:eastAsia="仿宋_GB2312"/>
          <w:sz w:val="32"/>
        </w:rPr>
        <w:t>公务用车购置及运行费和公务接待费。其中，因公出国（境）费反映单位公务出国（境）的国际旅费、国外城市间交通费</w:t>
      </w:r>
      <w:r>
        <w:rPr>
          <w:rFonts w:hint="eastAsia" w:ascii="仿宋_GB2312" w:hAnsi="仿宋_GB2312" w:eastAsia="仿宋_GB2312"/>
          <w:sz w:val="32"/>
          <w:lang w:eastAsia="zh-CN"/>
        </w:rPr>
        <w:t>、</w:t>
      </w:r>
      <w:r>
        <w:rPr>
          <w:rFonts w:ascii="仿宋_GB2312" w:hAnsi="仿宋_GB2312" w:eastAsia="仿宋_GB2312"/>
          <w:sz w:val="32"/>
        </w:rPr>
        <w:t>住宿费、伙食费、培训费、公杂费等支出；公务用车购置及运</w:t>
      </w:r>
      <w:bookmarkStart w:id="1" w:name="page51"/>
      <w:bookmarkEnd w:id="1"/>
      <w:r>
        <w:rPr>
          <w:rFonts w:ascii="仿宋_GB2312" w:hAnsi="仿宋_GB2312" w:eastAsia="仿宋_GB2312"/>
          <w:sz w:val="31"/>
        </w:rPr>
        <w:t>行费反映单位公务用车车辆购置支出（含车辆购置税）及租用费、燃料费、维修费、过路过桥费、保险费、安全奖励费用等支出；公务接待费反映单位按规定开支的各类公务接待（含外</w:t>
      </w:r>
      <w:r>
        <w:rPr>
          <w:rFonts w:ascii="仿宋_GB2312" w:hAnsi="仿宋_GB2312" w:eastAsia="仿宋_GB2312"/>
          <w:sz w:val="32"/>
        </w:rPr>
        <w:t>宾接待）支出。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20" w:firstLineChars="20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b/>
          <w:sz w:val="31"/>
          <w:lang w:val="en-US" w:eastAsia="zh-CN"/>
        </w:rPr>
        <w:t>13</w:t>
      </w:r>
      <w:r>
        <w:rPr>
          <w:rFonts w:ascii="仿宋_GB2312" w:hAnsi="仿宋_GB2312" w:eastAsia="仿宋_GB2312"/>
          <w:b/>
          <w:sz w:val="31"/>
        </w:rPr>
        <w:t>、机关运行经费</w:t>
      </w:r>
      <w:r>
        <w:rPr>
          <w:rFonts w:ascii="仿宋_GB2312" w:hAnsi="仿宋_GB2312" w:eastAsia="仿宋_GB2312"/>
          <w:sz w:val="31"/>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w:t>
      </w:r>
      <w:r>
        <w:rPr>
          <w:rFonts w:ascii="仿宋_GB2312" w:hAnsi="仿宋_GB2312" w:eastAsia="仿宋_GB2312"/>
          <w:sz w:val="32"/>
        </w:rPr>
        <w:t>他费用。</w:t>
      </w:r>
    </w:p>
    <w:p>
      <w:pPr>
        <w:widowControl/>
        <w:jc w:val="left"/>
        <w:rPr>
          <w:rFonts w:asciiTheme="minorEastAsia" w:hAnsiTheme="minorEastAsia"/>
          <w:i/>
          <w:color w:val="FF0000"/>
          <w:sz w:val="32"/>
          <w:szCs w:val="32"/>
        </w:rPr>
      </w:pPr>
      <w:r>
        <w:rPr>
          <w:rFonts w:asciiTheme="minorEastAsia" w:hAnsiTheme="minorEastAsia"/>
          <w:i/>
          <w:color w:val="FF0000"/>
          <w:sz w:val="32"/>
          <w:szCs w:val="32"/>
        </w:rPr>
        <w:br w:type="page"/>
      </w:r>
    </w:p>
    <w:p>
      <w:pPr>
        <w:pStyle w:val="11"/>
        <w:jc w:val="both"/>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adjustRightInd w:val="0"/>
        <w:spacing w:line="720" w:lineRule="auto"/>
        <w:jc w:val="center"/>
        <w:rPr>
          <w:rFonts w:hint="eastAsia" w:ascii="黑体" w:hAnsi="黑体" w:eastAsia="黑体"/>
          <w:b/>
          <w:sz w:val="44"/>
          <w:szCs w:val="44"/>
          <w:lang w:eastAsia="zh-CN"/>
        </w:rPr>
      </w:pPr>
      <w:r>
        <w:rPr>
          <w:rFonts w:hint="eastAsia" w:ascii="新宋体" w:hAnsi="新宋体" w:eastAsia="新宋体"/>
          <w:b/>
          <w:sz w:val="44"/>
          <w:szCs w:val="44"/>
          <w:lang w:eastAsia="zh-CN"/>
        </w:rPr>
        <w:t>2019年湖南省生态环境厅部门整体支出</w:t>
      </w:r>
    </w:p>
    <w:p>
      <w:pPr>
        <w:adjustRightInd w:val="0"/>
        <w:spacing w:line="720" w:lineRule="auto"/>
        <w:jc w:val="center"/>
        <w:rPr>
          <w:rFonts w:hint="eastAsia" w:ascii="黑体" w:hAnsi="黑体" w:eastAsia="黑体"/>
          <w:b/>
          <w:sz w:val="44"/>
          <w:szCs w:val="44"/>
          <w:lang w:eastAsia="zh-CN"/>
        </w:rPr>
      </w:pPr>
    </w:p>
    <w:p>
      <w:pPr>
        <w:adjustRightInd w:val="0"/>
        <w:spacing w:line="720" w:lineRule="auto"/>
        <w:jc w:val="center"/>
        <w:rPr>
          <w:rFonts w:hint="eastAsia" w:ascii="黑体" w:hAnsi="黑体" w:eastAsia="黑体"/>
          <w:b/>
          <w:sz w:val="44"/>
          <w:szCs w:val="44"/>
          <w:lang w:eastAsia="zh-CN"/>
        </w:rPr>
      </w:pPr>
    </w:p>
    <w:p>
      <w:pPr>
        <w:adjustRightInd w:val="0"/>
        <w:spacing w:line="720" w:lineRule="auto"/>
        <w:jc w:val="center"/>
        <w:rPr>
          <w:rFonts w:hint="eastAsia" w:ascii="黑体" w:hAnsi="黑体" w:eastAsia="黑体"/>
          <w:b w:val="0"/>
          <w:bCs/>
          <w:sz w:val="52"/>
          <w:szCs w:val="52"/>
          <w:lang w:eastAsia="zh-CN"/>
        </w:rPr>
      </w:pPr>
      <w:r>
        <w:rPr>
          <w:rFonts w:hint="eastAsia" w:ascii="黑体" w:hAnsi="黑体" w:eastAsia="黑体"/>
          <w:b w:val="0"/>
          <w:bCs/>
          <w:sz w:val="52"/>
          <w:szCs w:val="52"/>
          <w:lang w:eastAsia="zh-CN"/>
        </w:rPr>
        <w:t>绩效自评价报告</w:t>
      </w:r>
    </w:p>
    <w:p>
      <w:pPr>
        <w:adjustRightInd w:val="0"/>
        <w:jc w:val="center"/>
        <w:rPr>
          <w:rFonts w:hint="eastAsia" w:ascii="黑体" w:hAnsi="黑体" w:eastAsia="黑体"/>
          <w:b/>
          <w:sz w:val="32"/>
          <w:szCs w:val="32"/>
          <w:lang w:eastAsia="zh-CN"/>
        </w:rPr>
      </w:pPr>
    </w:p>
    <w:p>
      <w:pPr>
        <w:adjustRightInd w:val="0"/>
        <w:jc w:val="center"/>
        <w:rPr>
          <w:rFonts w:hint="eastAsia" w:ascii="黑体" w:hAnsi="黑体" w:eastAsia="黑体"/>
          <w:b/>
          <w:sz w:val="32"/>
          <w:szCs w:val="32"/>
          <w:lang w:eastAsia="zh-CN"/>
        </w:rPr>
      </w:pPr>
    </w:p>
    <w:p>
      <w:pPr>
        <w:adjustRightInd w:val="0"/>
        <w:jc w:val="center"/>
        <w:rPr>
          <w:rFonts w:hint="eastAsia" w:ascii="黑体" w:hAnsi="黑体" w:eastAsia="黑体"/>
          <w:b/>
          <w:sz w:val="32"/>
          <w:szCs w:val="32"/>
          <w:lang w:eastAsia="zh-CN"/>
        </w:rPr>
      </w:pPr>
    </w:p>
    <w:p>
      <w:pPr>
        <w:adjustRightInd w:val="0"/>
        <w:jc w:val="center"/>
        <w:rPr>
          <w:rFonts w:hint="eastAsia" w:ascii="黑体" w:hAnsi="黑体" w:eastAsia="黑体"/>
          <w:b/>
          <w:sz w:val="32"/>
          <w:szCs w:val="32"/>
          <w:lang w:eastAsia="zh-CN"/>
        </w:rPr>
      </w:pPr>
    </w:p>
    <w:p>
      <w:pPr>
        <w:adjustRightInd w:val="0"/>
        <w:jc w:val="center"/>
        <w:rPr>
          <w:rFonts w:hint="eastAsia" w:ascii="黑体" w:hAnsi="黑体" w:eastAsia="黑体"/>
          <w:b/>
          <w:sz w:val="32"/>
          <w:szCs w:val="32"/>
          <w:lang w:eastAsia="zh-CN"/>
        </w:rPr>
      </w:pPr>
    </w:p>
    <w:p>
      <w:pPr>
        <w:adjustRightInd w:val="0"/>
        <w:jc w:val="center"/>
        <w:rPr>
          <w:rFonts w:hint="eastAsia" w:ascii="黑体" w:hAnsi="黑体" w:eastAsia="黑体"/>
          <w:b/>
          <w:sz w:val="32"/>
          <w:szCs w:val="32"/>
          <w:lang w:eastAsia="zh-CN"/>
        </w:rPr>
      </w:pPr>
    </w:p>
    <w:p>
      <w:pPr>
        <w:adjustRightInd w:val="0"/>
        <w:jc w:val="center"/>
        <w:rPr>
          <w:rFonts w:hint="eastAsia" w:ascii="黑体" w:hAnsi="黑体" w:eastAsia="黑体"/>
          <w:b/>
          <w:sz w:val="32"/>
          <w:szCs w:val="32"/>
          <w:lang w:eastAsia="zh-CN"/>
        </w:rPr>
      </w:pPr>
    </w:p>
    <w:p>
      <w:pPr>
        <w:adjustRightInd w:val="0"/>
        <w:jc w:val="center"/>
        <w:rPr>
          <w:rFonts w:hint="eastAsia" w:ascii="黑体" w:hAnsi="黑体" w:eastAsia="黑体"/>
          <w:b/>
          <w:sz w:val="32"/>
          <w:szCs w:val="32"/>
          <w:lang w:eastAsia="zh-CN"/>
        </w:rPr>
      </w:pPr>
    </w:p>
    <w:p>
      <w:pPr>
        <w:adjustRightInd w:val="0"/>
        <w:jc w:val="center"/>
        <w:rPr>
          <w:rFonts w:hint="eastAsia" w:ascii="黑体" w:hAnsi="黑体" w:eastAsia="黑体"/>
          <w:b/>
          <w:sz w:val="32"/>
          <w:szCs w:val="32"/>
          <w:lang w:eastAsia="zh-CN"/>
        </w:rPr>
      </w:pPr>
    </w:p>
    <w:p>
      <w:pPr>
        <w:adjustRightInd w:val="0"/>
        <w:jc w:val="center"/>
        <w:rPr>
          <w:rFonts w:hint="eastAsia" w:ascii="黑体" w:hAnsi="黑体" w:eastAsia="黑体"/>
          <w:b w:val="0"/>
          <w:bCs/>
          <w:sz w:val="32"/>
          <w:szCs w:val="32"/>
          <w:lang w:eastAsia="zh-CN"/>
        </w:rPr>
      </w:pPr>
      <w:r>
        <w:rPr>
          <w:rFonts w:hint="eastAsia" w:ascii="黑体" w:hAnsi="黑体" w:eastAsia="黑体"/>
          <w:b w:val="0"/>
          <w:bCs/>
          <w:sz w:val="32"/>
          <w:szCs w:val="32"/>
          <w:lang w:eastAsia="zh-CN"/>
        </w:rPr>
        <w:t>湖南省生态环境厅</w:t>
      </w:r>
    </w:p>
    <w:p>
      <w:pPr>
        <w:adjustRightInd w:val="0"/>
        <w:jc w:val="center"/>
        <w:rPr>
          <w:rFonts w:hint="eastAsia" w:ascii="黑体" w:hAnsi="黑体" w:eastAsia="黑体"/>
          <w:b w:val="0"/>
          <w:bCs/>
          <w:sz w:val="32"/>
          <w:szCs w:val="32"/>
          <w:lang w:eastAsia="zh-CN"/>
        </w:rPr>
      </w:pPr>
      <w:r>
        <w:rPr>
          <w:rFonts w:hint="eastAsia" w:ascii="黑体" w:hAnsi="黑体" w:eastAsia="黑体"/>
          <w:b w:val="0"/>
          <w:bCs/>
          <w:sz w:val="32"/>
          <w:szCs w:val="32"/>
          <w:lang w:eastAsia="zh-CN"/>
        </w:rPr>
        <w:t>2020年6月</w:t>
      </w:r>
    </w:p>
    <w:p>
      <w:pPr>
        <w:adjustRightInd w:val="0"/>
        <w:jc w:val="center"/>
        <w:rPr>
          <w:rFonts w:hint="eastAsia" w:ascii="黑体" w:hAnsi="黑体" w:eastAsia="黑体"/>
          <w:b/>
          <w:sz w:val="32"/>
          <w:szCs w:val="32"/>
          <w:lang w:eastAsia="zh-CN"/>
        </w:rPr>
      </w:pPr>
    </w:p>
    <w:p>
      <w:pPr>
        <w:adjustRightInd w:val="0"/>
        <w:jc w:val="center"/>
        <w:rPr>
          <w:rFonts w:hint="eastAsia" w:ascii="黑体" w:hAnsi="黑体" w:eastAsia="黑体"/>
          <w:b/>
          <w:sz w:val="32"/>
          <w:szCs w:val="32"/>
          <w:lang w:eastAsia="zh-CN"/>
        </w:rPr>
      </w:pPr>
    </w:p>
    <w:p>
      <w:pPr>
        <w:adjustRightInd w:val="0"/>
        <w:jc w:val="center"/>
        <w:rPr>
          <w:rFonts w:hint="eastAsia" w:ascii="黑体" w:hAnsi="黑体" w:eastAsia="黑体"/>
          <w:b/>
          <w:sz w:val="36"/>
          <w:szCs w:val="36"/>
          <w:lang w:eastAsia="zh-CN"/>
        </w:rPr>
      </w:pPr>
    </w:p>
    <w:p>
      <w:pPr>
        <w:adjustRightInd w:val="0"/>
        <w:jc w:val="center"/>
        <w:rPr>
          <w:rFonts w:hint="eastAsia" w:ascii="黑体" w:hAnsi="黑体" w:eastAsia="黑体"/>
          <w:b/>
          <w:sz w:val="36"/>
          <w:szCs w:val="36"/>
          <w:lang w:eastAsia="zh-CN"/>
        </w:rPr>
      </w:pPr>
    </w:p>
    <w:p>
      <w:pPr>
        <w:adjustRightInd w:val="0"/>
        <w:jc w:val="center"/>
        <w:rPr>
          <w:rFonts w:hint="eastAsia" w:ascii="黑体" w:hAnsi="黑体" w:eastAsia="黑体"/>
          <w:b/>
          <w:sz w:val="36"/>
          <w:szCs w:val="36"/>
          <w:lang w:eastAsia="zh-CN"/>
        </w:rPr>
      </w:pPr>
    </w:p>
    <w:p>
      <w:pPr>
        <w:adjustRightInd w:val="0"/>
        <w:jc w:val="center"/>
        <w:rPr>
          <w:rFonts w:hint="eastAsia" w:ascii="黑体" w:hAnsi="黑体" w:eastAsia="黑体"/>
          <w:b/>
          <w:sz w:val="36"/>
          <w:szCs w:val="36"/>
          <w:lang w:eastAsia="zh-CN"/>
        </w:rPr>
      </w:pPr>
    </w:p>
    <w:p>
      <w:pPr>
        <w:adjustRightInd w:val="0"/>
        <w:jc w:val="center"/>
        <w:rPr>
          <w:rFonts w:hint="eastAsia" w:ascii="黑体" w:hAnsi="黑体" w:eastAsia="黑体"/>
          <w:b/>
          <w:sz w:val="36"/>
          <w:szCs w:val="36"/>
          <w:lang w:eastAsia="zh-CN"/>
        </w:rPr>
      </w:pPr>
    </w:p>
    <w:p>
      <w:pPr>
        <w:adjustRightInd w:val="0"/>
        <w:jc w:val="center"/>
        <w:rPr>
          <w:rFonts w:hint="eastAsia" w:ascii="黑体" w:hAnsi="黑体" w:eastAsia="黑体"/>
          <w:b/>
          <w:sz w:val="36"/>
          <w:szCs w:val="36"/>
          <w:lang w:eastAsia="zh-CN"/>
        </w:rPr>
      </w:pPr>
    </w:p>
    <w:p>
      <w:pPr>
        <w:adjustRightInd w:val="0"/>
        <w:jc w:val="center"/>
        <w:rPr>
          <w:rFonts w:hint="eastAsia" w:ascii="黑体" w:hAnsi="黑体" w:eastAsia="黑体"/>
          <w:b/>
          <w:sz w:val="36"/>
          <w:szCs w:val="36"/>
          <w:lang w:eastAsia="zh-CN"/>
        </w:rPr>
      </w:pPr>
    </w:p>
    <w:p>
      <w:pPr>
        <w:adjustRightInd w:val="0"/>
        <w:jc w:val="center"/>
        <w:rPr>
          <w:rFonts w:hint="eastAsia" w:ascii="黑体" w:hAnsi="黑体" w:eastAsia="黑体"/>
          <w:b/>
          <w:sz w:val="36"/>
          <w:szCs w:val="36"/>
          <w:lang w:eastAsia="zh-CN"/>
        </w:rPr>
      </w:pPr>
      <w:r>
        <w:rPr>
          <w:rFonts w:hint="eastAsia" w:ascii="黑体" w:hAnsi="黑体" w:eastAsia="黑体"/>
          <w:b/>
          <w:sz w:val="36"/>
          <w:szCs w:val="36"/>
          <w:lang w:eastAsia="zh-CN"/>
        </w:rPr>
        <w:t>目     录</w:t>
      </w:r>
    </w:p>
    <w:p>
      <w:pPr>
        <w:adjustRightInd w:val="0"/>
        <w:jc w:val="center"/>
        <w:rPr>
          <w:rFonts w:hint="eastAsia" w:ascii="黑体" w:hAnsi="黑体" w:eastAsia="黑体"/>
          <w:b/>
          <w:sz w:val="36"/>
          <w:szCs w:val="36"/>
          <w:lang w:eastAsia="zh-CN"/>
        </w:rPr>
      </w:pPr>
    </w:p>
    <w:p>
      <w:pPr>
        <w:adjustRightInd w:val="0"/>
        <w:jc w:val="center"/>
        <w:rPr>
          <w:rFonts w:hint="eastAsia" w:ascii="黑体" w:hAnsi="黑体" w:eastAsia="黑体"/>
          <w:sz w:val="36"/>
          <w:szCs w:val="36"/>
          <w:lang w:eastAsia="zh-CN"/>
        </w:rPr>
      </w:pPr>
    </w:p>
    <w:p>
      <w:pPr>
        <w:numPr>
          <w:ilvl w:val="0"/>
          <w:numId w:val="2"/>
        </w:numPr>
        <w:adjustRightInd w:val="0"/>
        <w:rPr>
          <w:rFonts w:hint="eastAsia" w:ascii="黑体" w:hAnsi="黑体" w:eastAsia="黑体"/>
          <w:sz w:val="30"/>
          <w:szCs w:val="30"/>
          <w:lang w:eastAsia="zh-CN"/>
        </w:rPr>
      </w:pPr>
      <w:r>
        <w:rPr>
          <w:rFonts w:hint="eastAsia" w:ascii="黑体" w:hAnsi="黑体" w:eastAsia="黑体" w:cs="黑体"/>
          <w:color w:val="000000"/>
          <w:sz w:val="30"/>
          <w:szCs w:val="30"/>
          <w:lang w:eastAsia="zh-CN"/>
        </w:rPr>
        <w:t>部门基本情况</w:t>
      </w:r>
    </w:p>
    <w:p>
      <w:pPr>
        <w:numPr>
          <w:ilvl w:val="0"/>
          <w:numId w:val="2"/>
        </w:numPr>
        <w:adjustRightInd w:val="0"/>
        <w:rPr>
          <w:rFonts w:hint="eastAsia" w:ascii="黑体" w:hAnsi="黑体" w:eastAsia="黑体" w:cs="黑体"/>
          <w:color w:val="000000"/>
          <w:sz w:val="30"/>
          <w:szCs w:val="30"/>
          <w:lang w:eastAsia="zh-CN"/>
        </w:rPr>
      </w:pPr>
      <w:r>
        <w:rPr>
          <w:rFonts w:hint="eastAsia" w:ascii="黑体" w:hAnsi="黑体" w:eastAsia="黑体" w:cs="黑体"/>
          <w:color w:val="000000"/>
          <w:sz w:val="30"/>
          <w:szCs w:val="30"/>
          <w:lang w:eastAsia="zh-CN"/>
        </w:rPr>
        <w:t>绩效评价依据文件</w:t>
      </w:r>
    </w:p>
    <w:p>
      <w:pPr>
        <w:numPr>
          <w:ilvl w:val="0"/>
          <w:numId w:val="2"/>
        </w:numPr>
        <w:adjustRightInd w:val="0"/>
        <w:rPr>
          <w:rFonts w:ascii="黑体" w:hAnsi="黑体" w:eastAsia="黑体" w:cs="黑体"/>
          <w:color w:val="000000"/>
          <w:sz w:val="30"/>
          <w:szCs w:val="30"/>
          <w:lang w:eastAsia="zh-CN"/>
        </w:rPr>
      </w:pPr>
      <w:r>
        <w:rPr>
          <w:rFonts w:hint="eastAsia" w:ascii="黑体" w:hAnsi="黑体" w:eastAsia="黑体" w:cs="黑体"/>
          <w:color w:val="000000"/>
          <w:sz w:val="30"/>
          <w:szCs w:val="30"/>
          <w:lang w:eastAsia="zh-CN"/>
        </w:rPr>
        <w:t>一般公共预算支出情况</w:t>
      </w:r>
    </w:p>
    <w:p>
      <w:pPr>
        <w:numPr>
          <w:ilvl w:val="0"/>
          <w:numId w:val="3"/>
        </w:numPr>
        <w:adjustRightInd w:val="0"/>
        <w:rPr>
          <w:rFonts w:ascii="黑体" w:hAnsi="黑体" w:eastAsia="黑体" w:cs="黑体"/>
          <w:color w:val="000000"/>
          <w:sz w:val="30"/>
          <w:szCs w:val="30"/>
          <w:lang w:eastAsia="zh-CN"/>
        </w:rPr>
      </w:pPr>
      <w:r>
        <w:rPr>
          <w:rFonts w:hint="eastAsia" w:ascii="黑体" w:hAnsi="黑体" w:eastAsia="黑体" w:cs="黑体"/>
          <w:color w:val="000000"/>
          <w:sz w:val="30"/>
          <w:szCs w:val="30"/>
          <w:lang w:eastAsia="zh-CN"/>
        </w:rPr>
        <w:t>资金来源及主要用途</w:t>
      </w:r>
    </w:p>
    <w:p>
      <w:pPr>
        <w:numPr>
          <w:ilvl w:val="0"/>
          <w:numId w:val="3"/>
        </w:numPr>
        <w:adjustRightInd w:val="0"/>
        <w:rPr>
          <w:rFonts w:hint="eastAsia" w:ascii="黑体" w:hAnsi="黑体" w:eastAsia="黑体" w:cs="黑体"/>
          <w:color w:val="000000"/>
          <w:sz w:val="30"/>
          <w:szCs w:val="30"/>
          <w:lang w:eastAsia="zh-CN"/>
        </w:rPr>
      </w:pPr>
      <w:r>
        <w:rPr>
          <w:rFonts w:hint="eastAsia" w:ascii="黑体" w:hAnsi="黑体" w:eastAsia="黑体" w:cs="黑体"/>
          <w:color w:val="000000"/>
          <w:sz w:val="30"/>
          <w:szCs w:val="30"/>
          <w:lang w:eastAsia="zh-CN"/>
        </w:rPr>
        <w:t>基本支出情况</w:t>
      </w:r>
    </w:p>
    <w:p>
      <w:pPr>
        <w:numPr>
          <w:ilvl w:val="0"/>
          <w:numId w:val="3"/>
        </w:numPr>
        <w:adjustRightInd w:val="0"/>
        <w:rPr>
          <w:rFonts w:hint="eastAsia" w:ascii="黑体" w:hAnsi="黑体" w:eastAsia="黑体" w:cs="黑体"/>
          <w:color w:val="000000"/>
          <w:sz w:val="30"/>
          <w:szCs w:val="30"/>
          <w:lang w:eastAsia="zh-CN"/>
        </w:rPr>
      </w:pPr>
      <w:r>
        <w:rPr>
          <w:rFonts w:hint="eastAsia" w:ascii="黑体" w:hAnsi="黑体" w:eastAsia="黑体" w:cs="黑体"/>
          <w:color w:val="000000"/>
          <w:sz w:val="30"/>
          <w:szCs w:val="30"/>
          <w:lang w:eastAsia="zh-CN"/>
        </w:rPr>
        <w:t>项目支出情况</w:t>
      </w:r>
    </w:p>
    <w:p>
      <w:pPr>
        <w:numPr>
          <w:ilvl w:val="0"/>
          <w:numId w:val="2"/>
        </w:numPr>
        <w:adjustRightInd w:val="0"/>
        <w:rPr>
          <w:rFonts w:hint="eastAsia" w:ascii="黑体" w:hAnsi="黑体" w:eastAsia="黑体" w:cs="黑体"/>
          <w:color w:val="000000"/>
          <w:sz w:val="30"/>
          <w:szCs w:val="30"/>
          <w:lang w:eastAsia="zh-CN"/>
        </w:rPr>
      </w:pPr>
      <w:r>
        <w:rPr>
          <w:rFonts w:hint="eastAsia" w:ascii="黑体" w:hAnsi="黑体" w:eastAsia="黑体" w:cs="黑体"/>
          <w:color w:val="000000"/>
          <w:sz w:val="30"/>
          <w:szCs w:val="30"/>
          <w:lang w:eastAsia="zh-CN"/>
        </w:rPr>
        <w:t>部门整体支出绩效情况</w:t>
      </w:r>
    </w:p>
    <w:p>
      <w:pPr>
        <w:numPr>
          <w:ilvl w:val="0"/>
          <w:numId w:val="2"/>
        </w:numPr>
        <w:adjustRightInd w:val="0"/>
        <w:rPr>
          <w:rFonts w:ascii="黑体" w:hAnsi="黑体" w:eastAsia="黑体" w:cs="黑体"/>
          <w:color w:val="000000"/>
          <w:kern w:val="0"/>
          <w:sz w:val="30"/>
          <w:szCs w:val="30"/>
          <w:lang w:eastAsia="zh-CN"/>
        </w:rPr>
      </w:pPr>
      <w:r>
        <w:rPr>
          <w:rFonts w:hint="eastAsia" w:ascii="黑体" w:hAnsi="黑体" w:eastAsia="黑体" w:cs="黑体"/>
          <w:color w:val="000000"/>
          <w:sz w:val="30"/>
          <w:szCs w:val="30"/>
          <w:lang w:eastAsia="zh-CN"/>
        </w:rPr>
        <w:t>预算管理、“三公”经费控制及厉行节约情况</w:t>
      </w:r>
    </w:p>
    <w:p>
      <w:pPr>
        <w:numPr>
          <w:ilvl w:val="0"/>
          <w:numId w:val="2"/>
        </w:numPr>
        <w:adjustRightInd w:val="0"/>
        <w:rPr>
          <w:rFonts w:hint="eastAsia" w:ascii="黑体" w:hAnsi="黑体" w:eastAsia="黑体" w:cs="黑体"/>
          <w:color w:val="000000"/>
          <w:sz w:val="30"/>
          <w:szCs w:val="30"/>
          <w:lang w:eastAsia="zh-CN"/>
        </w:rPr>
      </w:pPr>
      <w:r>
        <w:rPr>
          <w:rFonts w:hint="eastAsia" w:ascii="黑体" w:hAnsi="黑体" w:eastAsia="黑体" w:cs="黑体"/>
          <w:color w:val="000000"/>
          <w:kern w:val="0"/>
          <w:sz w:val="30"/>
          <w:szCs w:val="30"/>
          <w:lang w:eastAsia="zh-CN"/>
        </w:rPr>
        <w:t>存在的主要问题</w:t>
      </w:r>
    </w:p>
    <w:p>
      <w:pPr>
        <w:numPr>
          <w:ilvl w:val="0"/>
          <w:numId w:val="2"/>
        </w:numPr>
        <w:adjustRightInd w:val="0"/>
        <w:rPr>
          <w:rFonts w:hint="eastAsia" w:ascii="黑体" w:hAnsi="黑体" w:eastAsia="黑体" w:cs="黑体"/>
          <w:color w:val="000000"/>
          <w:sz w:val="30"/>
          <w:szCs w:val="30"/>
          <w:lang w:eastAsia="zh-CN"/>
        </w:rPr>
      </w:pPr>
      <w:r>
        <w:rPr>
          <w:rFonts w:hint="eastAsia" w:ascii="黑体" w:hAnsi="黑体" w:eastAsia="黑体" w:cs="黑体"/>
          <w:color w:val="000000"/>
          <w:kern w:val="0"/>
          <w:sz w:val="30"/>
          <w:szCs w:val="30"/>
          <w:lang w:eastAsia="zh-CN"/>
        </w:rPr>
        <w:t>下一步改进措施及工作计划</w:t>
      </w:r>
    </w:p>
    <w:p>
      <w:pPr>
        <w:numPr>
          <w:ilvl w:val="0"/>
          <w:numId w:val="2"/>
        </w:numPr>
        <w:adjustRightInd w:val="0"/>
        <w:rPr>
          <w:rFonts w:hint="eastAsia" w:ascii="黑体" w:hAnsi="黑体" w:eastAsia="黑体" w:cs="黑体"/>
          <w:color w:val="000000"/>
          <w:sz w:val="30"/>
          <w:szCs w:val="30"/>
          <w:lang w:eastAsia="zh-CN"/>
        </w:rPr>
      </w:pPr>
      <w:r>
        <w:rPr>
          <w:rFonts w:hint="eastAsia" w:ascii="黑体" w:hAnsi="黑体" w:eastAsia="黑体" w:cs="黑体"/>
          <w:color w:val="000000"/>
          <w:kern w:val="0"/>
          <w:sz w:val="30"/>
          <w:szCs w:val="30"/>
          <w:lang w:eastAsia="zh-CN"/>
        </w:rPr>
        <w:t>绩效自评结果拟应用和公开情况</w:t>
      </w:r>
    </w:p>
    <w:p>
      <w:pPr>
        <w:numPr>
          <w:ilvl w:val="0"/>
          <w:numId w:val="2"/>
        </w:numPr>
        <w:adjustRightInd w:val="0"/>
        <w:rPr>
          <w:rFonts w:hint="eastAsia" w:ascii="黑体" w:hAnsi="黑体" w:eastAsia="黑体" w:cs="黑体"/>
          <w:color w:val="000000"/>
          <w:sz w:val="30"/>
          <w:szCs w:val="30"/>
          <w:lang w:eastAsia="zh-CN"/>
        </w:rPr>
      </w:pPr>
      <w:r>
        <w:rPr>
          <w:rFonts w:hint="eastAsia" w:ascii="黑体" w:hAnsi="黑体" w:eastAsia="黑体" w:cs="黑体"/>
          <w:color w:val="000000"/>
          <w:kern w:val="0"/>
          <w:sz w:val="30"/>
          <w:szCs w:val="30"/>
          <w:lang w:eastAsia="zh-CN"/>
        </w:rPr>
        <w:t>其他需要说明的情况及建议</w:t>
      </w:r>
    </w:p>
    <w:p>
      <w:pPr>
        <w:adjustRightInd w:val="0"/>
        <w:jc w:val="center"/>
        <w:rPr>
          <w:rFonts w:hint="eastAsia" w:ascii="黑体" w:hAnsi="黑体" w:eastAsia="黑体"/>
          <w:b/>
          <w:sz w:val="32"/>
          <w:szCs w:val="32"/>
          <w:lang w:eastAsia="zh-CN"/>
        </w:rPr>
      </w:pPr>
    </w:p>
    <w:p>
      <w:pPr>
        <w:adjustRightInd w:val="0"/>
        <w:jc w:val="center"/>
        <w:rPr>
          <w:rFonts w:hint="eastAsia" w:ascii="黑体" w:hAnsi="黑体" w:eastAsia="黑体"/>
          <w:b/>
          <w:sz w:val="32"/>
          <w:szCs w:val="32"/>
          <w:lang w:eastAsia="zh-CN"/>
        </w:rPr>
      </w:pPr>
    </w:p>
    <w:p>
      <w:pPr>
        <w:adjustRightInd w:val="0"/>
        <w:jc w:val="center"/>
        <w:rPr>
          <w:rFonts w:hint="eastAsia" w:ascii="黑体" w:hAnsi="黑体" w:eastAsia="黑体"/>
          <w:b/>
          <w:sz w:val="32"/>
          <w:szCs w:val="32"/>
          <w:lang w:eastAsia="zh-CN"/>
        </w:rPr>
      </w:pPr>
    </w:p>
    <w:p>
      <w:pPr>
        <w:adjustRightInd w:val="0"/>
        <w:jc w:val="center"/>
        <w:rPr>
          <w:rFonts w:hint="eastAsia" w:ascii="黑体" w:hAnsi="黑体" w:eastAsia="黑体"/>
          <w:b/>
          <w:sz w:val="32"/>
          <w:szCs w:val="32"/>
          <w:lang w:eastAsia="zh-CN"/>
        </w:rPr>
      </w:pPr>
    </w:p>
    <w:p>
      <w:pPr>
        <w:adjustRightInd w:val="0"/>
        <w:jc w:val="center"/>
        <w:rPr>
          <w:rFonts w:hint="eastAsia" w:ascii="黑体" w:hAnsi="黑体" w:eastAsia="黑体"/>
          <w:b/>
          <w:sz w:val="32"/>
          <w:szCs w:val="32"/>
          <w:lang w:eastAsia="zh-CN"/>
        </w:rPr>
      </w:pPr>
    </w:p>
    <w:p>
      <w:pPr>
        <w:adjustRightInd w:val="0"/>
        <w:jc w:val="center"/>
        <w:rPr>
          <w:rFonts w:hint="eastAsia" w:ascii="黑体" w:hAnsi="黑体" w:eastAsia="黑体"/>
          <w:b/>
          <w:sz w:val="32"/>
          <w:szCs w:val="32"/>
          <w:lang w:eastAsia="zh-CN"/>
        </w:rPr>
      </w:pPr>
    </w:p>
    <w:p>
      <w:pPr>
        <w:adjustRightInd w:val="0"/>
        <w:jc w:val="center"/>
        <w:rPr>
          <w:rFonts w:hint="eastAsia" w:ascii="黑体" w:hAnsi="黑体" w:eastAsia="黑体"/>
          <w:b/>
          <w:sz w:val="32"/>
          <w:szCs w:val="32"/>
          <w:lang w:eastAsia="zh-CN"/>
        </w:rPr>
      </w:pPr>
    </w:p>
    <w:p>
      <w:pPr>
        <w:pStyle w:val="2"/>
        <w:adjustRightInd w:val="0"/>
        <w:snapToGrid w:val="0"/>
        <w:spacing w:before="0" w:after="0" w:line="360" w:lineRule="auto"/>
        <w:ind w:firstLine="640" w:firstLineChars="200"/>
        <w:jc w:val="both"/>
        <w:rPr>
          <w:rFonts w:hint="eastAsia" w:ascii="黑体" w:hAnsi="黑体" w:eastAsia="黑体" w:cs="黑体"/>
          <w:b w:val="0"/>
          <w:color w:val="000000"/>
          <w:lang w:eastAsia="zh-CN"/>
        </w:rPr>
      </w:pPr>
      <w:r>
        <w:rPr>
          <w:rFonts w:hint="eastAsia" w:ascii="黑体" w:hAnsi="黑体" w:eastAsia="黑体" w:cs="黑体"/>
          <w:b w:val="0"/>
          <w:color w:val="000000"/>
          <w:lang w:eastAsia="zh-CN"/>
        </w:rPr>
        <w:t>一、部门基本</w:t>
      </w:r>
      <w:bookmarkStart w:id="2" w:name="_Toc6651"/>
      <w:r>
        <w:rPr>
          <w:rFonts w:hint="eastAsia" w:ascii="黑体" w:hAnsi="黑体" w:eastAsia="黑体" w:cs="黑体"/>
          <w:b w:val="0"/>
          <w:color w:val="000000"/>
          <w:lang w:eastAsia="zh-CN"/>
        </w:rPr>
        <w:t>情况</w:t>
      </w:r>
    </w:p>
    <w:bookmarkEnd w:id="2"/>
    <w:p>
      <w:pPr>
        <w:pStyle w:val="6"/>
        <w:shd w:val="clear" w:color="auto" w:fill="FFFFFF"/>
        <w:adjustRightInd w:val="0"/>
        <w:snapToGrid w:val="0"/>
        <w:spacing w:before="0" w:beforeAutospacing="0" w:after="0" w:afterAutospacing="0" w:line="360" w:lineRule="auto"/>
        <w:ind w:firstLine="640" w:firstLineChars="200"/>
        <w:rPr>
          <w:rFonts w:hint="eastAsia" w:ascii="仿宋_GB2312" w:hAnsi="仿宋_GB2312" w:eastAsia="仿宋_GB2312" w:cs="仿宋_GB2312"/>
          <w:color w:val="333333"/>
          <w:sz w:val="32"/>
          <w:szCs w:val="32"/>
          <w:shd w:val="clear" w:color="auto" w:fill="FFFFFF"/>
          <w:lang w:eastAsia="zh-CN"/>
        </w:rPr>
      </w:pPr>
      <w:r>
        <w:rPr>
          <w:rFonts w:hint="eastAsia" w:ascii="仿宋_GB2312" w:hAnsi="仿宋_GB2312" w:eastAsia="仿宋_GB2312" w:cs="仿宋_GB2312"/>
          <w:color w:val="333333"/>
          <w:sz w:val="32"/>
          <w:szCs w:val="32"/>
          <w:shd w:val="clear" w:color="auto" w:fill="FFFFFF"/>
          <w:lang w:eastAsia="zh-CN"/>
        </w:rPr>
        <w:t>（一）职能职责 </w:t>
      </w:r>
    </w:p>
    <w:p>
      <w:pPr>
        <w:pStyle w:val="6"/>
        <w:shd w:val="clear" w:color="auto" w:fill="FFFFFF"/>
        <w:adjustRightInd w:val="0"/>
        <w:snapToGrid w:val="0"/>
        <w:spacing w:before="0" w:beforeAutospacing="0" w:after="0" w:afterAutospacing="0" w:line="360" w:lineRule="auto"/>
        <w:ind w:firstLine="640" w:firstLineChars="200"/>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1、贯彻执行国家生态环境基本制度。会同有关部门拟订生态环境政策、规划并组织实施，起草生态环境有关地方性法规和省政府规章草案；会同有关部门编制并监督实施重点区域、流域、饮用水水源地生态环境规划和水功能区划；组织拟订生态环境地方标准、基准和技术规范。</w:t>
      </w:r>
    </w:p>
    <w:p>
      <w:pPr>
        <w:pStyle w:val="6"/>
        <w:shd w:val="clear" w:color="auto" w:fill="FFFFFF"/>
        <w:adjustRightInd w:val="0"/>
        <w:snapToGrid w:val="0"/>
        <w:spacing w:before="0" w:beforeAutospacing="0" w:after="0" w:afterAutospacing="0" w:line="360" w:lineRule="auto"/>
        <w:ind w:firstLine="640" w:firstLineChars="200"/>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2、负责重大生态环境问题的统筹协调和监督管理。牵头协调较大和重大环境污染事故和生态破坏事件的调查处理，指导协调较大和重大突发生态环境事件的应急、预警工作，牵头指导实施生态环境损害赔偿制度，协调解决有关跨区域环境污染纠纷；统筹协调重点区域、流域生态环境保护工作。</w:t>
      </w:r>
    </w:p>
    <w:p>
      <w:pPr>
        <w:pStyle w:val="6"/>
        <w:shd w:val="clear" w:color="auto" w:fill="FFFFFF"/>
        <w:adjustRightInd w:val="0"/>
        <w:snapToGrid w:val="0"/>
        <w:spacing w:before="0" w:beforeAutospacing="0" w:after="0" w:afterAutospacing="0" w:line="360" w:lineRule="auto"/>
        <w:ind w:firstLine="640" w:firstLineChars="200"/>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3、负责监督管理减排目标的落实。组织拟订各类污染物排放总量控制、排污许可证制度并监督实施，确定大气、水等纳污能力，提出实施总量控制的污染物名称和控制指标，监督检查各地污染物减排任务完成情况，实施生态环境保护目标责任制。</w:t>
      </w:r>
    </w:p>
    <w:p>
      <w:pPr>
        <w:pStyle w:val="6"/>
        <w:shd w:val="clear" w:color="auto" w:fill="FFFFFF"/>
        <w:adjustRightInd w:val="0"/>
        <w:snapToGrid w:val="0"/>
        <w:spacing w:before="0" w:beforeAutospacing="0" w:after="0" w:afterAutospacing="0" w:line="360" w:lineRule="auto"/>
        <w:ind w:firstLine="640" w:firstLineChars="200"/>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4、负责提出生态环境领域固定资产投资规模和方向、生态环境部管理的中央专项资金和省财政性资金安排的意见，按规定权限审批、核准规划内和年度计划规模内生态环境领域固定资产投资项目，配合有关部门做好组织实施和监督工作。参与指导推动循环经济和生态环保产业发展。</w:t>
      </w:r>
    </w:p>
    <w:p>
      <w:pPr>
        <w:pStyle w:val="6"/>
        <w:shd w:val="clear" w:color="auto" w:fill="FFFFFF"/>
        <w:adjustRightInd w:val="0"/>
        <w:snapToGrid w:val="0"/>
        <w:spacing w:before="0" w:beforeAutospacing="0" w:after="0" w:afterAutospacing="0" w:line="360" w:lineRule="auto"/>
        <w:ind w:firstLine="640" w:firstLineChars="200"/>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5、负责环境污染防治的监督管理。组织拟订大气、水、土壤、噪声、光、恶臭、固体废物、化学品、机动车等的污染防治管理制度并监督实施。会同有关部门监督管理饮用水水源地生态环境保护工作，组织指导城乡生态环境综合整治工作，监督指导农业面源污染治理工作。监督指导区域大气环境保护工作，组织实施区域大气污染联防联控协作机制。</w:t>
      </w:r>
    </w:p>
    <w:p>
      <w:pPr>
        <w:pStyle w:val="6"/>
        <w:shd w:val="clear" w:color="auto" w:fill="FFFFFF"/>
        <w:adjustRightInd w:val="0"/>
        <w:snapToGrid w:val="0"/>
        <w:spacing w:before="0" w:beforeAutospacing="0" w:after="0" w:afterAutospacing="0" w:line="360" w:lineRule="auto"/>
        <w:ind w:firstLine="640" w:firstLineChars="200"/>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6、指导协调和监督生态保护修复工作。组织编制生态保护规划，监督对生态环境有影响的自然资源开发利用活动、重要生态环境建设和生态破坏恢复工作。组织拟订各类自然保护地生态环境监管制度并监督执法。监督野生动植物保护、湿地生态环境保护、荒漠化防治等工作。指导协调和监督农村生态环境保护，监督生物技术环境安全，牵头生物物种（含遗传资源）工作，组织协调生物多样性保护工作，参与生态保护补偿工作。</w:t>
      </w:r>
    </w:p>
    <w:p>
      <w:pPr>
        <w:pStyle w:val="6"/>
        <w:shd w:val="clear" w:color="auto" w:fill="FFFFFF"/>
        <w:adjustRightInd w:val="0"/>
        <w:snapToGrid w:val="0"/>
        <w:spacing w:before="0" w:beforeAutospacing="0" w:after="0" w:afterAutospacing="0" w:line="360" w:lineRule="auto"/>
        <w:ind w:firstLine="640" w:firstLineChars="200"/>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7、负责核与辐射安全的监督管理。贯彻实施国家核与辐射安全政策、规划、标准，牵头负责核安全工作协调机制有关工作，参与核事故应急处理，负责辐射环境事故应急处理工作。监督管理核设施和放射源安全，监督管理核设施、核技术应用、电磁辐射、伴有放射性矿产资源开发利用中的污染防治。对核材料管制和民用核安全设备设计、制造、安装及无损检验活动实施监督管理。</w:t>
      </w:r>
    </w:p>
    <w:p>
      <w:pPr>
        <w:pStyle w:val="6"/>
        <w:shd w:val="clear" w:color="auto" w:fill="FFFFFF"/>
        <w:adjustRightInd w:val="0"/>
        <w:snapToGrid w:val="0"/>
        <w:spacing w:before="0" w:beforeAutospacing="0" w:after="0" w:afterAutospacing="0" w:line="360" w:lineRule="auto"/>
        <w:ind w:firstLine="640" w:firstLineChars="200"/>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8、负责生态环境准入的监督管理。受省政府委托对重大经济和技术政策、发展规划以及重大经济开发计划进行环境影响评价。按规定审批或审查重大开发建设区域、规划、项目环境影响评价文件。拟订并组织实施生态环境准入清单。</w:t>
      </w:r>
    </w:p>
    <w:p>
      <w:pPr>
        <w:pStyle w:val="6"/>
        <w:shd w:val="clear" w:color="auto" w:fill="FFFFFF"/>
        <w:adjustRightInd w:val="0"/>
        <w:snapToGrid w:val="0"/>
        <w:spacing w:before="0" w:beforeAutospacing="0" w:after="0" w:afterAutospacing="0" w:line="360" w:lineRule="auto"/>
        <w:ind w:firstLine="640" w:firstLineChars="200"/>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9、负责生态环境监测工作。制定生态环境监测制度和规范、拟订相关标准并监督实施。会同有关部门统一规划省控生态环境质量监测站点设置，组织实施生态环境质量监测、污染源监督性监测、温室气体减排监测、应急监测。组织对生态环境质量状况进行调查评价、预警预测，组织建设和管理生态环境监测网和生态环境信息网。建立和实行生态环境质量公告制度，统一发布生态环境综合性报告和重大生态环境信息。</w:t>
      </w:r>
    </w:p>
    <w:p>
      <w:pPr>
        <w:pStyle w:val="6"/>
        <w:shd w:val="clear" w:color="auto" w:fill="FFFFFF"/>
        <w:adjustRightInd w:val="0"/>
        <w:snapToGrid w:val="0"/>
        <w:spacing w:before="0" w:beforeAutospacing="0" w:after="0" w:afterAutospacing="0" w:line="360" w:lineRule="auto"/>
        <w:ind w:firstLine="640" w:firstLineChars="200"/>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10、负责应对气候变化工作。组织实施应对气候变化及温室气体减排重大战略、规划和政策，组织协调履行国家应对气候变化省内相关义务。</w:t>
      </w:r>
    </w:p>
    <w:p>
      <w:pPr>
        <w:pStyle w:val="6"/>
        <w:shd w:val="clear" w:color="auto" w:fill="FFFFFF"/>
        <w:adjustRightInd w:val="0"/>
        <w:snapToGrid w:val="0"/>
        <w:spacing w:before="0" w:beforeAutospacing="0" w:after="0" w:afterAutospacing="0" w:line="360" w:lineRule="auto"/>
        <w:ind w:firstLine="640" w:firstLineChars="200"/>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11、组织开展生态环境保护督察。建立健全生态环境保护督察制度，组织协调生态环境保护督察工作，根据省委、省政府授权，对市、县党委和政府及有关部门贯彻落实中央和省委生态环境保护决策部署情况进行督察问责。</w:t>
      </w:r>
    </w:p>
    <w:p>
      <w:pPr>
        <w:pStyle w:val="6"/>
        <w:shd w:val="clear" w:color="auto" w:fill="FFFFFF"/>
        <w:adjustRightInd w:val="0"/>
        <w:snapToGrid w:val="0"/>
        <w:spacing w:before="0" w:beforeAutospacing="0" w:after="0" w:afterAutospacing="0" w:line="360" w:lineRule="auto"/>
        <w:ind w:firstLine="640" w:firstLineChars="200"/>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12、统一负责生态环境监督执法。组织开展生态环境保护执法检查活动。查处重大生态环境违法问题。指导全省生态环境保护综合执法队伍建设和业务工作。</w:t>
      </w:r>
    </w:p>
    <w:p>
      <w:pPr>
        <w:pStyle w:val="6"/>
        <w:shd w:val="clear" w:color="auto" w:fill="FFFFFF"/>
        <w:adjustRightInd w:val="0"/>
        <w:snapToGrid w:val="0"/>
        <w:spacing w:before="0" w:beforeAutospacing="0" w:after="0" w:afterAutospacing="0" w:line="360" w:lineRule="auto"/>
        <w:ind w:firstLine="640" w:firstLineChars="200"/>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13、组织指导和协调生态环境宣传教育工作，贯彻实施生态环境保护宣传教育纲要，推动社会组织和公众参与生态环境保护。开展生态环境科技工作，组织生态环境重大科学研究和技术工程示范，推动生态环境技术管理体系建设。</w:t>
      </w:r>
    </w:p>
    <w:p>
      <w:pPr>
        <w:pStyle w:val="6"/>
        <w:shd w:val="clear" w:color="auto" w:fill="FFFFFF"/>
        <w:adjustRightInd w:val="0"/>
        <w:snapToGrid w:val="0"/>
        <w:spacing w:before="0" w:beforeAutospacing="0" w:after="0" w:afterAutospacing="0" w:line="360" w:lineRule="auto"/>
        <w:ind w:firstLine="640" w:firstLineChars="200"/>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14、开展生态环境对外合作交流，研究提出生态环境对外合作中有关问题的建议，组织协调有关生态环境国际条约的省内履约工作，参与处理涉外生态环境事务。</w:t>
      </w:r>
    </w:p>
    <w:p>
      <w:pPr>
        <w:pStyle w:val="6"/>
        <w:shd w:val="clear" w:color="auto" w:fill="FFFFFF"/>
        <w:adjustRightInd w:val="0"/>
        <w:snapToGrid w:val="0"/>
        <w:spacing w:before="0" w:beforeAutospacing="0" w:after="0" w:afterAutospacing="0" w:line="360" w:lineRule="auto"/>
        <w:ind w:firstLine="640" w:firstLineChars="200"/>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15、完成省委、省政府交办的其他任务。</w:t>
      </w:r>
    </w:p>
    <w:p>
      <w:pPr>
        <w:pStyle w:val="6"/>
        <w:shd w:val="clear" w:color="auto" w:fill="FFFFFF"/>
        <w:adjustRightInd w:val="0"/>
        <w:snapToGrid w:val="0"/>
        <w:spacing w:before="0" w:beforeAutospacing="0" w:after="0" w:afterAutospacing="0" w:line="360" w:lineRule="auto"/>
        <w:ind w:firstLine="640" w:firstLineChars="200"/>
        <w:rPr>
          <w:rFonts w:hint="default"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16、职能转变。省生态环境厅要统一行使生态和城乡各类污染排放监管与行政执法职责，切实履行监管责任，全面落实大气、水、土壤污染防治行动计划，大幅减少进口固体废物种类和数量直至全面禁止洋垃圾入境。构建政府为主导、企业为主体、社会组织和公众共同参与的生态环境治理体系，实行最严格的生态环境保护制度，严守生态保护红线和环境治理底线，坚决打好污染防治攻坚战，保障全省生态安全，建设富饶美丽幸福新湖南。</w:t>
      </w:r>
    </w:p>
    <w:p>
      <w:pPr>
        <w:pStyle w:val="6"/>
        <w:shd w:val="clear" w:color="auto" w:fill="FFFFFF"/>
        <w:adjustRightInd w:val="0"/>
        <w:snapToGrid w:val="0"/>
        <w:spacing w:before="0" w:beforeAutospacing="0" w:after="0" w:afterAutospacing="0" w:line="360" w:lineRule="auto"/>
        <w:ind w:firstLine="640" w:firstLineChars="200"/>
        <w:rPr>
          <w:rFonts w:hint="eastAsia"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shd w:val="clear" w:color="auto" w:fill="FFFFFF"/>
          <w:lang w:eastAsia="zh-CN"/>
        </w:rPr>
        <w:t>（二）机构设置及人员情况</w:t>
      </w:r>
    </w:p>
    <w:p>
      <w:pPr>
        <w:pStyle w:val="6"/>
        <w:shd w:val="clear" w:color="auto" w:fill="FFFFFF"/>
        <w:adjustRightInd w:val="0"/>
        <w:snapToGrid w:val="0"/>
        <w:spacing w:before="0" w:beforeAutospacing="0" w:after="0" w:afterAutospacing="0" w:line="360" w:lineRule="auto"/>
        <w:ind w:firstLine="640" w:firstLineChars="200"/>
        <w:rPr>
          <w:rFonts w:ascii="仿宋_GB2312" w:hAnsi="仿宋_GB2312" w:eastAsia="仿宋_GB2312" w:cs="仿宋_GB2312"/>
          <w:color w:val="333333"/>
          <w:sz w:val="32"/>
          <w:szCs w:val="32"/>
          <w:shd w:val="clear" w:color="auto" w:fill="FFFFFF"/>
          <w:lang w:eastAsia="zh-CN"/>
        </w:rPr>
      </w:pPr>
      <w:r>
        <w:rPr>
          <w:rFonts w:hint="eastAsia" w:ascii="仿宋_GB2312" w:hAnsi="仿宋_GB2312" w:eastAsia="仿宋_GB2312" w:cs="仿宋_GB2312"/>
          <w:color w:val="333333"/>
          <w:sz w:val="32"/>
          <w:szCs w:val="32"/>
          <w:shd w:val="clear" w:color="auto" w:fill="FFFFFF"/>
          <w:lang w:eastAsia="zh-CN"/>
        </w:rPr>
        <w:t>内设机构（共18个）：办公室、省生态环境保护督察办公室（督察一处）、生态环境保护督察二处、综合协调处、法规与标准处、人事处、科技与财务处、自然生态保护处、水生态环境处、大气环境与应对气候变化处、土壤生态环境处、固体废物与化学品处、核与辐射管理处、环境影响评价与排放管理处、生态环境监测处、生态环境执法局、宣传教育与对外合作处、厅直属机关党委（机关纪委）。厅机关行政编制105名，在职人员114人（含入编手续正在办理中的军转干部及选调人员）。</w:t>
      </w:r>
    </w:p>
    <w:p>
      <w:pPr>
        <w:pStyle w:val="6"/>
        <w:shd w:val="clear" w:color="auto" w:fill="FFFFFF"/>
        <w:adjustRightInd w:val="0"/>
        <w:snapToGrid w:val="0"/>
        <w:spacing w:before="0" w:beforeAutospacing="0" w:after="0" w:afterAutospacing="0" w:line="360" w:lineRule="auto"/>
        <w:ind w:firstLine="640" w:firstLineChars="200"/>
        <w:rPr>
          <w:rFonts w:ascii="仿宋_GB2312" w:hAnsi="仿宋_GB2312" w:eastAsia="仿宋_GB2312" w:cs="仿宋_GB2312"/>
          <w:color w:val="333333"/>
          <w:sz w:val="32"/>
          <w:szCs w:val="32"/>
          <w:shd w:val="clear" w:color="auto" w:fill="FFFFFF"/>
          <w:lang w:eastAsia="zh-CN"/>
        </w:rPr>
      </w:pPr>
      <w:r>
        <w:rPr>
          <w:rFonts w:hint="eastAsia" w:ascii="仿宋_GB2312" w:hAnsi="仿宋_GB2312" w:eastAsia="仿宋_GB2312" w:cs="仿宋_GB2312"/>
          <w:color w:val="333333"/>
          <w:sz w:val="32"/>
          <w:szCs w:val="32"/>
          <w:shd w:val="clear" w:color="auto" w:fill="FFFFFF"/>
          <w:lang w:eastAsia="zh-CN"/>
        </w:rPr>
        <w:t>直属机构（共11个）：省生态环境事务中心（编制数51，实有人数41）、长沙环境职业保护技术学院（编制数662，实有人数567）、厅环境监察局（编制数24，实有人数21）、省辐射环境监督站（编制数40，实有人数15）、省固体废物管理站（编制数12，实有人数9）、省农业资源与环境保护管理站（编制数19，实有人数17）、省环境保护科学研究院（编制数136，实有人数122）、省生态环境监测中心（编制数135，实有人数127）、厅机关后勤服务中心（编制数10，实有人数10）、省洞庭湖生态环境监测中心（编制数49，实有人数42）、省生态环境监测中心南岳站（编制数8，实有人数8）。</w:t>
      </w:r>
    </w:p>
    <w:p>
      <w:pPr>
        <w:numPr>
          <w:ilvl w:val="0"/>
          <w:numId w:val="0"/>
        </w:numPr>
        <w:autoSpaceDE w:val="0"/>
        <w:autoSpaceDN w:val="0"/>
        <w:spacing w:line="360" w:lineRule="auto"/>
        <w:ind w:firstLine="640" w:firstLineChars="200"/>
        <w:rPr>
          <w:rFonts w:hint="eastAsia" w:ascii="黑体" w:hAnsi="黑体" w:eastAsia="黑体" w:cs="黑体"/>
          <w:color w:val="000000"/>
          <w:sz w:val="32"/>
          <w:szCs w:val="32"/>
          <w:lang w:eastAsia="zh-CN"/>
        </w:rPr>
      </w:pPr>
      <w:r>
        <w:rPr>
          <w:rFonts w:hint="eastAsia" w:ascii="黑体" w:hAnsi="黑体" w:eastAsia="黑体" w:cs="黑体"/>
          <w:color w:val="333333"/>
          <w:sz w:val="32"/>
          <w:szCs w:val="32"/>
          <w:shd w:val="clear" w:color="auto" w:fill="FFFFFF"/>
          <w:lang w:eastAsia="zh-CN"/>
        </w:rPr>
        <w:t>二、</w:t>
      </w:r>
      <w:r>
        <w:rPr>
          <w:rFonts w:hint="eastAsia" w:ascii="黑体" w:hAnsi="黑体" w:eastAsia="黑体" w:cs="黑体"/>
          <w:color w:val="000000"/>
          <w:sz w:val="32"/>
          <w:szCs w:val="32"/>
          <w:lang w:eastAsia="zh-CN"/>
        </w:rPr>
        <w:t>绩效评价依据文件</w:t>
      </w:r>
    </w:p>
    <w:p>
      <w:pPr>
        <w:numPr>
          <w:ilvl w:val="0"/>
          <w:numId w:val="4"/>
        </w:numPr>
        <w:spacing w:line="360" w:lineRule="auto"/>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Cs/>
          <w:color w:val="000000"/>
          <w:sz w:val="32"/>
          <w:szCs w:val="32"/>
          <w:lang w:val="zh-CN" w:eastAsia="zh-CN" w:bidi="ar-SA"/>
        </w:rPr>
        <w:t>《中华人民共和国预算法》</w:t>
      </w:r>
    </w:p>
    <w:p>
      <w:pPr>
        <w:numPr>
          <w:ilvl w:val="0"/>
          <w:numId w:val="4"/>
        </w:numPr>
        <w:spacing w:line="360" w:lineRule="auto"/>
        <w:ind w:firstLine="640" w:firstLineChars="200"/>
        <w:rPr>
          <w:rFonts w:hint="eastAsia" w:ascii="仿宋_GB2312" w:hAnsi="仿宋_GB2312" w:eastAsia="仿宋_GB2312" w:cs="仿宋_GB2312"/>
          <w:bCs/>
          <w:color w:val="000000"/>
          <w:sz w:val="32"/>
          <w:szCs w:val="32"/>
          <w:lang w:val="zh-CN" w:eastAsia="zh-CN" w:bidi="ar-SA"/>
        </w:rPr>
      </w:pPr>
      <w:r>
        <w:rPr>
          <w:rFonts w:hint="eastAsia" w:ascii="仿宋_GB2312" w:hAnsi="仿宋_GB2312" w:eastAsia="仿宋_GB2312" w:cs="仿宋_GB2312"/>
          <w:color w:val="000000"/>
          <w:sz w:val="32"/>
          <w:szCs w:val="32"/>
          <w:lang w:eastAsia="zh-CN"/>
        </w:rPr>
        <w:t>《湖南省人民政府关于全面推进预算绩效管理的意见》（湘政发〔2012〕33号）</w:t>
      </w:r>
    </w:p>
    <w:p>
      <w:pPr>
        <w:numPr>
          <w:ilvl w:val="0"/>
          <w:numId w:val="4"/>
        </w:numPr>
        <w:spacing w:line="360" w:lineRule="auto"/>
        <w:ind w:firstLine="640" w:firstLineChars="200"/>
        <w:rPr>
          <w:rFonts w:hint="eastAsia" w:ascii="仿宋_GB2312" w:hAnsi="仿宋_GB2312" w:eastAsia="仿宋_GB2312" w:cs="仿宋_GB2312"/>
          <w:bCs/>
          <w:color w:val="000000"/>
          <w:sz w:val="32"/>
          <w:szCs w:val="32"/>
          <w:lang w:val="zh-CN" w:eastAsia="zh-CN" w:bidi="ar-SA"/>
        </w:rPr>
      </w:pPr>
      <w:r>
        <w:rPr>
          <w:rFonts w:hint="eastAsia" w:ascii="仿宋_GB2312" w:hAnsi="仿宋_GB2312" w:eastAsia="仿宋_GB2312" w:cs="仿宋_GB2312"/>
          <w:bCs/>
          <w:color w:val="000000"/>
          <w:sz w:val="32"/>
          <w:szCs w:val="32"/>
          <w:lang w:val="zh-CN" w:eastAsia="zh-CN" w:bidi="ar-SA"/>
        </w:rPr>
        <w:t>《湖南省人民政府关于深化预算管理制度改革的实施意见》（湘政发[2015]8号）</w:t>
      </w:r>
    </w:p>
    <w:p>
      <w:pPr>
        <w:numPr>
          <w:ilvl w:val="0"/>
          <w:numId w:val="4"/>
        </w:numPr>
        <w:spacing w:line="360" w:lineRule="auto"/>
        <w:ind w:firstLine="640" w:firstLineChars="200"/>
        <w:rPr>
          <w:rFonts w:hint="eastAsia" w:ascii="仿宋_GB2312" w:hAnsi="仿宋_GB2312" w:eastAsia="仿宋_GB2312" w:cs="仿宋_GB2312"/>
          <w:bCs/>
          <w:color w:val="000000"/>
          <w:sz w:val="32"/>
          <w:szCs w:val="32"/>
          <w:lang w:val="zh-CN" w:eastAsia="zh-CN" w:bidi="ar-SA"/>
        </w:rPr>
      </w:pPr>
      <w:r>
        <w:rPr>
          <w:rFonts w:hint="eastAsia" w:ascii="仿宋_GB2312" w:hAnsi="仿宋_GB2312" w:eastAsia="仿宋_GB2312" w:cs="仿宋_GB2312"/>
          <w:color w:val="000000"/>
          <w:sz w:val="32"/>
          <w:szCs w:val="32"/>
          <w:lang w:eastAsia="zh-CN"/>
        </w:rPr>
        <w:t>《湖南省人民政府关于深化预算管理制度改革的实施意见》（湘政发〔2015〕8号）</w:t>
      </w:r>
    </w:p>
    <w:p>
      <w:pPr>
        <w:numPr>
          <w:ilvl w:val="0"/>
          <w:numId w:val="4"/>
        </w:numPr>
        <w:spacing w:line="360" w:lineRule="auto"/>
        <w:ind w:firstLine="640" w:firstLineChars="200"/>
        <w:rPr>
          <w:rFonts w:hint="eastAsia" w:ascii="仿宋_GB2312" w:hAnsi="仿宋_GB2312" w:eastAsia="仿宋_GB2312" w:cs="仿宋_GB2312"/>
          <w:bCs/>
          <w:color w:val="000000"/>
          <w:sz w:val="32"/>
          <w:szCs w:val="32"/>
          <w:lang w:val="zh-CN" w:eastAsia="zh-CN" w:bidi="ar-SA"/>
        </w:rPr>
      </w:pPr>
      <w:r>
        <w:rPr>
          <w:rFonts w:hint="eastAsia" w:ascii="仿宋_GB2312" w:hAnsi="仿宋_GB2312" w:eastAsia="仿宋_GB2312" w:cs="仿宋_GB2312"/>
          <w:bCs/>
          <w:color w:val="000000"/>
          <w:sz w:val="32"/>
          <w:szCs w:val="32"/>
          <w:lang w:val="zh-CN" w:eastAsia="zh-CN" w:bidi="ar-SA"/>
        </w:rPr>
        <w:t>《湖南省财政厅关于开展2019年度部门整体支出绩效自评工作的通知》（湘财绩〔2020〕4号）</w:t>
      </w:r>
    </w:p>
    <w:p>
      <w:pPr>
        <w:spacing w:line="360" w:lineRule="auto"/>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lang w:eastAsia="zh-CN"/>
        </w:rPr>
        <w:t>）《湖南省预算绩效目标管理办法》</w:t>
      </w:r>
    </w:p>
    <w:p>
      <w:pPr>
        <w:spacing w:line="360" w:lineRule="auto"/>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lang w:eastAsia="zh-CN"/>
        </w:rPr>
        <w:t>）《湖南省预算绩效评价结果应用管理办法》</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）《湖南省环境保护专项资金管理办法》（湘财建〔2017〕102号）</w:t>
      </w:r>
    </w:p>
    <w:p>
      <w:pPr>
        <w:autoSpaceDE/>
        <w:autoSpaceDN/>
        <w:spacing w:line="360" w:lineRule="auto"/>
        <w:ind w:left="0" w:leftChars="0" w:firstLine="640" w:firstLineChars="200"/>
        <w:rPr>
          <w:rFonts w:hint="eastAsia" w:ascii="黑体" w:hAnsi="黑体" w:eastAsia="黑体" w:cs="黑体"/>
          <w:color w:val="000000"/>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）《湖南省生态环境厅办公室关于开展2019年度部门整体支出及省级环境保护专项资金绩效自评价工作的通知》</w:t>
      </w:r>
    </w:p>
    <w:p>
      <w:pPr>
        <w:numPr>
          <w:ilvl w:val="0"/>
          <w:numId w:val="0"/>
        </w:numPr>
        <w:autoSpaceDE w:val="0"/>
        <w:autoSpaceDN w:val="0"/>
        <w:spacing w:line="360" w:lineRule="auto"/>
        <w:ind w:firstLine="640" w:firstLineChars="200"/>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三、一般公共预算支出情况</w:t>
      </w:r>
    </w:p>
    <w:p>
      <w:pPr>
        <w:pStyle w:val="2"/>
        <w:spacing w:before="0" w:after="0" w:line="360" w:lineRule="auto"/>
        <w:ind w:firstLine="640" w:firstLineChars="200"/>
        <w:rPr>
          <w:rFonts w:hint="eastAsia" w:ascii="仿宋_GB2312" w:hAnsi="仿宋_GB2312" w:eastAsia="仿宋_GB2312" w:cs="仿宋_GB2312"/>
          <w:lang w:eastAsia="zh-CN"/>
        </w:rPr>
      </w:pPr>
      <w:r>
        <w:rPr>
          <w:rFonts w:hint="eastAsia" w:ascii="仿宋_GB2312" w:hAnsi="仿宋_GB2312" w:eastAsia="仿宋_GB2312" w:cs="仿宋_GB2312"/>
          <w:lang w:eastAsia="zh-CN"/>
        </w:rPr>
        <w:t>1、资金来源及主要用途</w:t>
      </w:r>
    </w:p>
    <w:p>
      <w:pPr>
        <w:autoSpaceDE w:val="0"/>
        <w:autoSpaceDN w:val="0"/>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2019年，中央、省级财政共下达我厅及各二级单位一般公共预算资金99474.09万元（含本年追加及上年结转），支出51788.09万元，总体预算执行率为52.06%。其中：年初部门预算资金36066.66万元，支出31089.3万元，预算执行率86.2%；上年结转资金7725.99万元，支出6792.4万元，预算执行率87.92%；本年追加资金55681.44万元，支出13906.39万元，预算执行率24.97%。总体来说，预算执行率缓慢主要体现在年中追加中央专项资金。我厅预算资金主要支出科目为：一般公共服务支出、教育支出、科学技术支出、社会保障和就业支出、节能环保支出、城乡社区支出、农林水支出、住房保障等支出等，其中节能环保支出所占比重最大。</w:t>
      </w:r>
    </w:p>
    <w:p>
      <w:pPr>
        <w:pStyle w:val="2"/>
        <w:tabs>
          <w:tab w:val="left" w:pos="4680"/>
        </w:tabs>
        <w:spacing w:before="0" w:after="0" w:line="360" w:lineRule="auto"/>
        <w:ind w:firstLine="640" w:firstLineChars="200"/>
        <w:rPr>
          <w:rFonts w:hint="eastAsia" w:ascii="仿宋_GB2312" w:hAnsi="仿宋_GB2312" w:eastAsia="仿宋_GB2312" w:cs="仿宋_GB2312"/>
          <w:lang w:eastAsia="zh-CN"/>
        </w:rPr>
      </w:pPr>
      <w:bookmarkStart w:id="3" w:name="_Hlk42285932"/>
      <w:r>
        <w:rPr>
          <w:rFonts w:hint="eastAsia" w:ascii="仿宋_GB2312" w:hAnsi="仿宋_GB2312" w:eastAsia="仿宋_GB2312" w:cs="仿宋_GB2312"/>
          <w:lang w:eastAsia="zh-CN"/>
        </w:rPr>
        <w:t>2、基本支出情况</w:t>
      </w:r>
    </w:p>
    <w:bookmarkEnd w:id="3"/>
    <w:p>
      <w:pPr>
        <w:spacing w:line="360" w:lineRule="auto"/>
        <w:ind w:firstLine="640" w:firstLineChars="200"/>
        <w:rPr>
          <w:rFonts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2019年，我厅本级及直属单位共发生基本支出决算数为22995.38万元（含上年结转及本年追加数），其中：用于工资福利性支出18228.92万元，用于保障办公运转的办公、会议、差旅等支出4766.46万元。</w:t>
      </w:r>
    </w:p>
    <w:p>
      <w:pPr>
        <w:pStyle w:val="2"/>
        <w:tabs>
          <w:tab w:val="left" w:pos="4680"/>
        </w:tabs>
        <w:spacing w:before="0" w:after="0" w:line="360" w:lineRule="auto"/>
        <w:ind w:firstLine="640" w:firstLineChars="200"/>
        <w:rPr>
          <w:rFonts w:hint="eastAsia" w:ascii="仿宋_GB2312" w:hAnsi="仿宋_GB2312" w:eastAsia="仿宋_GB2312" w:cs="仿宋_GB2312"/>
          <w:lang w:eastAsia="zh-CN"/>
        </w:rPr>
      </w:pPr>
      <w:r>
        <w:rPr>
          <w:rFonts w:hint="eastAsia" w:ascii="仿宋_GB2312" w:hAnsi="仿宋_GB2312" w:eastAsia="仿宋_GB2312" w:cs="仿宋_GB2312"/>
          <w:lang w:eastAsia="zh-CN"/>
        </w:rPr>
        <w:t>3、项目支出情况</w:t>
      </w:r>
    </w:p>
    <w:p>
      <w:pPr>
        <w:spacing w:line="360" w:lineRule="auto"/>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2019年，我厅本级及预算单位共发生项目支出决算数为28792.71万元（含上年结转和本年追加数），主要为业务工作专项和环境保护与污染治理专项支出。</w:t>
      </w:r>
    </w:p>
    <w:p>
      <w:pPr>
        <w:adjustRightInd/>
        <w:snapToGrid/>
        <w:spacing w:line="360" w:lineRule="auto"/>
        <w:ind w:firstLine="640" w:firstLineChars="200"/>
        <w:rPr>
          <w:rFonts w:hint="eastAsia" w:ascii="仿宋_GB2312" w:hAnsi="仿宋_GB2312" w:eastAsia="仿宋_GB2312" w:cs="仿宋_GB2312"/>
          <w:color w:val="000000"/>
          <w:sz w:val="32"/>
          <w:szCs w:val="32"/>
          <w:lang w:eastAsia="zh-CN" w:bidi="en-US"/>
        </w:rPr>
      </w:pPr>
      <w:r>
        <w:rPr>
          <w:rFonts w:hint="eastAsia" w:ascii="仿宋_GB2312" w:hAnsi="仿宋_GB2312" w:eastAsia="仿宋_GB2312" w:cs="仿宋_GB2312"/>
          <w:color w:val="000000"/>
          <w:sz w:val="32"/>
          <w:szCs w:val="32"/>
          <w:lang w:eastAsia="zh-CN" w:bidi="en-US"/>
        </w:rPr>
        <w:t>201</w:t>
      </w:r>
      <w:r>
        <w:rPr>
          <w:rFonts w:hint="eastAsia" w:ascii="仿宋_GB2312" w:hAnsi="仿宋_GB2312" w:eastAsia="仿宋_GB2312" w:cs="仿宋_GB2312"/>
          <w:color w:val="000000"/>
          <w:sz w:val="32"/>
          <w:szCs w:val="32"/>
          <w:lang w:eastAsia="zh-CN"/>
        </w:rPr>
        <w:t>9</w:t>
      </w:r>
      <w:r>
        <w:rPr>
          <w:rFonts w:hint="eastAsia" w:ascii="仿宋_GB2312" w:hAnsi="仿宋_GB2312" w:eastAsia="仿宋_GB2312" w:cs="仿宋_GB2312"/>
          <w:color w:val="000000"/>
          <w:sz w:val="32"/>
          <w:szCs w:val="32"/>
          <w:lang w:eastAsia="zh-CN" w:bidi="en-US"/>
        </w:rPr>
        <w:t>年</w:t>
      </w:r>
      <w:r>
        <w:rPr>
          <w:rFonts w:hint="eastAsia" w:ascii="仿宋_GB2312" w:hAnsi="仿宋_GB2312" w:eastAsia="仿宋_GB2312" w:cs="仿宋_GB2312"/>
          <w:color w:val="000000"/>
          <w:sz w:val="32"/>
          <w:szCs w:val="32"/>
          <w:lang w:eastAsia="zh-CN"/>
        </w:rPr>
        <w:t>我厅安排</w:t>
      </w:r>
      <w:r>
        <w:rPr>
          <w:rFonts w:hint="eastAsia" w:ascii="仿宋_GB2312" w:hAnsi="仿宋_GB2312" w:eastAsia="仿宋_GB2312" w:cs="仿宋_GB2312"/>
          <w:color w:val="000000"/>
          <w:sz w:val="32"/>
          <w:szCs w:val="32"/>
          <w:lang w:eastAsia="zh-CN" w:bidi="en-US"/>
        </w:rPr>
        <w:t>项目支出包括</w:t>
      </w:r>
      <w:r>
        <w:rPr>
          <w:rFonts w:hint="eastAsia" w:ascii="仿宋_GB2312" w:hAnsi="仿宋_GB2312" w:eastAsia="仿宋_GB2312" w:cs="仿宋_GB2312"/>
          <w:color w:val="000000"/>
          <w:sz w:val="32"/>
          <w:szCs w:val="32"/>
          <w:lang w:eastAsia="zh-CN"/>
        </w:rPr>
        <w:t>一级项目两个，分别为：</w:t>
      </w:r>
      <w:r>
        <w:rPr>
          <w:rFonts w:hint="eastAsia" w:ascii="仿宋_GB2312" w:hAnsi="仿宋_GB2312" w:eastAsia="仿宋_GB2312" w:cs="仿宋_GB2312"/>
          <w:color w:val="000000"/>
          <w:sz w:val="32"/>
          <w:szCs w:val="32"/>
          <w:lang w:eastAsia="zh-CN" w:bidi="en-US"/>
        </w:rPr>
        <w:t>业务工作专项和省级环境保护</w:t>
      </w:r>
      <w:r>
        <w:rPr>
          <w:rFonts w:hint="eastAsia" w:ascii="仿宋_GB2312" w:hAnsi="仿宋_GB2312" w:eastAsia="仿宋_GB2312" w:cs="仿宋_GB2312"/>
          <w:color w:val="000000"/>
          <w:sz w:val="32"/>
          <w:szCs w:val="32"/>
          <w:lang w:eastAsia="zh-CN"/>
        </w:rPr>
        <w:t>与污染治理</w:t>
      </w:r>
      <w:r>
        <w:rPr>
          <w:rFonts w:hint="eastAsia" w:ascii="仿宋_GB2312" w:hAnsi="仿宋_GB2312" w:eastAsia="仿宋_GB2312" w:cs="仿宋_GB2312"/>
          <w:color w:val="000000"/>
          <w:sz w:val="32"/>
          <w:szCs w:val="32"/>
          <w:lang w:eastAsia="zh-CN" w:bidi="en-US"/>
        </w:rPr>
        <w:t>专项，资金额共计</w:t>
      </w:r>
      <w:r>
        <w:rPr>
          <w:rFonts w:hint="eastAsia" w:ascii="仿宋_GB2312" w:hAnsi="仿宋_GB2312" w:eastAsia="仿宋_GB2312" w:cs="仿宋_GB2312"/>
          <w:color w:val="000000"/>
          <w:sz w:val="32"/>
          <w:szCs w:val="32"/>
          <w:lang w:eastAsia="zh-CN"/>
        </w:rPr>
        <w:t>61953.25</w:t>
      </w:r>
      <w:r>
        <w:rPr>
          <w:rFonts w:hint="eastAsia" w:ascii="仿宋_GB2312" w:hAnsi="仿宋_GB2312" w:eastAsia="仿宋_GB2312" w:cs="仿宋_GB2312"/>
          <w:color w:val="000000"/>
          <w:sz w:val="32"/>
          <w:szCs w:val="32"/>
          <w:lang w:eastAsia="zh-CN" w:bidi="en-US"/>
        </w:rPr>
        <w:t>万元，其中：业务工作专项</w:t>
      </w:r>
      <w:r>
        <w:rPr>
          <w:rFonts w:hint="eastAsia" w:ascii="仿宋_GB2312" w:hAnsi="仿宋_GB2312" w:eastAsia="仿宋_GB2312" w:cs="仿宋_GB2312"/>
          <w:color w:val="000000"/>
          <w:sz w:val="32"/>
          <w:szCs w:val="32"/>
          <w:lang w:eastAsia="zh-CN"/>
        </w:rPr>
        <w:t>5866.93</w:t>
      </w:r>
      <w:r>
        <w:rPr>
          <w:rFonts w:hint="eastAsia" w:ascii="仿宋_GB2312" w:hAnsi="仿宋_GB2312" w:eastAsia="仿宋_GB2312" w:cs="仿宋_GB2312"/>
          <w:color w:val="000000"/>
          <w:sz w:val="32"/>
          <w:szCs w:val="32"/>
          <w:lang w:eastAsia="zh-CN" w:bidi="en-US"/>
        </w:rPr>
        <w:t>万元，省级环境保护专项</w:t>
      </w:r>
      <w:r>
        <w:rPr>
          <w:rFonts w:hint="eastAsia" w:ascii="仿宋_GB2312" w:hAnsi="仿宋_GB2312" w:eastAsia="仿宋_GB2312" w:cs="仿宋_GB2312"/>
          <w:color w:val="000000"/>
          <w:sz w:val="32"/>
          <w:szCs w:val="32"/>
          <w:lang w:eastAsia="zh-CN"/>
        </w:rPr>
        <w:t>56086.32</w:t>
      </w:r>
      <w:r>
        <w:rPr>
          <w:rFonts w:hint="eastAsia" w:ascii="仿宋_GB2312" w:hAnsi="仿宋_GB2312" w:eastAsia="仿宋_GB2312" w:cs="仿宋_GB2312"/>
          <w:color w:val="000000"/>
          <w:sz w:val="32"/>
          <w:szCs w:val="32"/>
          <w:lang w:eastAsia="zh-CN" w:bidi="en-US"/>
        </w:rPr>
        <w:t>万元。</w:t>
      </w:r>
    </w:p>
    <w:p>
      <w:pPr>
        <w:autoSpaceDE/>
        <w:autoSpaceDN/>
        <w:adjustRightInd/>
        <w:spacing w:line="360" w:lineRule="auto"/>
        <w:ind w:firstLine="640" w:firstLineChars="200"/>
        <w:jc w:val="left"/>
        <w:rPr>
          <w:rFonts w:hint="eastAsia" w:ascii="宋体" w:cs="宋体"/>
          <w:b/>
          <w:bCs/>
          <w:lang w:eastAsia="zh-CN" w:bidi="ar-SA"/>
        </w:rPr>
      </w:pPr>
      <w:r>
        <w:rPr>
          <w:rFonts w:hint="eastAsia" w:ascii="仿宋_GB2312" w:hAnsi="仿宋_GB2312" w:eastAsia="仿宋_GB2312" w:cs="仿宋_GB2312"/>
          <w:color w:val="000000"/>
          <w:sz w:val="32"/>
          <w:szCs w:val="32"/>
          <w:lang w:eastAsia="zh-CN" w:bidi="en-US"/>
        </w:rPr>
        <w:t>上述资金中，业务工作专项均在省级部门支出，</w:t>
      </w:r>
      <w:r>
        <w:rPr>
          <w:rFonts w:hint="eastAsia" w:ascii="仿宋_GB2312" w:hAnsi="仿宋_GB2312" w:eastAsia="仿宋_GB2312" w:cs="仿宋_GB2312"/>
          <w:color w:val="000000"/>
          <w:sz w:val="32"/>
          <w:szCs w:val="32"/>
          <w:lang w:eastAsia="zh-CN"/>
        </w:rPr>
        <w:t>省级</w:t>
      </w:r>
      <w:r>
        <w:rPr>
          <w:rFonts w:hint="eastAsia" w:ascii="仿宋_GB2312" w:hAnsi="仿宋_GB2312" w:eastAsia="仿宋_GB2312" w:cs="仿宋_GB2312"/>
          <w:color w:val="000000"/>
          <w:sz w:val="32"/>
          <w:szCs w:val="32"/>
          <w:lang w:eastAsia="zh-CN" w:bidi="en-US"/>
        </w:rPr>
        <w:t>环境保护</w:t>
      </w:r>
      <w:r>
        <w:rPr>
          <w:rFonts w:hint="eastAsia" w:ascii="仿宋_GB2312" w:hAnsi="仿宋_GB2312" w:eastAsia="仿宋_GB2312" w:cs="仿宋_GB2312"/>
          <w:color w:val="000000"/>
          <w:sz w:val="32"/>
          <w:szCs w:val="32"/>
          <w:lang w:eastAsia="zh-CN"/>
        </w:rPr>
        <w:t>与污染治理</w:t>
      </w:r>
      <w:r>
        <w:rPr>
          <w:rFonts w:hint="eastAsia" w:ascii="仿宋_GB2312" w:hAnsi="仿宋_GB2312" w:eastAsia="仿宋_GB2312" w:cs="仿宋_GB2312"/>
          <w:color w:val="000000"/>
          <w:sz w:val="32"/>
          <w:szCs w:val="32"/>
          <w:lang w:eastAsia="zh-CN" w:bidi="en-US"/>
        </w:rPr>
        <w:t>专项资金中用于省级支出的</w:t>
      </w:r>
      <w:r>
        <w:rPr>
          <w:rFonts w:hint="eastAsia" w:ascii="仿宋_GB2312" w:hAnsi="仿宋_GB2312" w:eastAsia="仿宋_GB2312" w:cs="仿宋_GB2312"/>
          <w:color w:val="000000"/>
          <w:sz w:val="32"/>
          <w:szCs w:val="32"/>
          <w:lang w:eastAsia="zh-CN"/>
        </w:rPr>
        <w:t>12743.32</w:t>
      </w:r>
      <w:r>
        <w:rPr>
          <w:rFonts w:hint="eastAsia" w:ascii="仿宋_GB2312" w:hAnsi="仿宋_GB2312" w:eastAsia="仿宋_GB2312" w:cs="仿宋_GB2312"/>
          <w:color w:val="000000"/>
          <w:sz w:val="32"/>
          <w:szCs w:val="32"/>
          <w:lang w:eastAsia="zh-CN" w:bidi="en-US"/>
        </w:rPr>
        <w:t>万元，对市县转移支付部分</w:t>
      </w:r>
      <w:r>
        <w:rPr>
          <w:rFonts w:hint="eastAsia" w:ascii="仿宋_GB2312" w:hAnsi="仿宋_GB2312" w:eastAsia="仿宋_GB2312" w:cs="仿宋_GB2312"/>
          <w:color w:val="000000"/>
          <w:sz w:val="32"/>
          <w:szCs w:val="32"/>
          <w:lang w:eastAsia="zh-CN"/>
        </w:rPr>
        <w:t>43343</w:t>
      </w:r>
      <w:r>
        <w:rPr>
          <w:rFonts w:hint="eastAsia" w:ascii="仿宋_GB2312" w:hAnsi="仿宋_GB2312" w:eastAsia="仿宋_GB2312" w:cs="仿宋_GB2312"/>
          <w:color w:val="000000"/>
          <w:sz w:val="32"/>
          <w:szCs w:val="32"/>
          <w:lang w:eastAsia="zh-CN" w:bidi="en-US"/>
        </w:rPr>
        <w:t>万元，其中：</w:t>
      </w:r>
      <w:r>
        <w:rPr>
          <w:rFonts w:hint="eastAsia" w:ascii="仿宋_GB2312" w:hAnsi="仿宋_GB2312" w:eastAsia="仿宋_GB2312" w:cs="仿宋_GB2312"/>
          <w:color w:val="000000"/>
          <w:sz w:val="32"/>
          <w:szCs w:val="32"/>
          <w:lang w:eastAsia="zh-CN"/>
        </w:rPr>
        <w:t>大气污染防治资金12000万元、土壤污染防治资金10000万元、农村环境综合整治资金20000万元、能力建设类项目资金1343万元（详见下表）。</w:t>
      </w:r>
    </w:p>
    <w:p>
      <w:pPr>
        <w:autoSpaceDE w:val="0"/>
        <w:autoSpaceDN w:val="0"/>
        <w:adjustRightInd w:val="0"/>
        <w:spacing w:line="360" w:lineRule="auto"/>
        <w:jc w:val="center"/>
        <w:rPr>
          <w:rFonts w:hint="eastAsia" w:ascii="宋体" w:cs="宋体"/>
          <w:b/>
          <w:bCs/>
          <w:lang w:eastAsia="zh-CN" w:bidi="ar-SA"/>
        </w:rPr>
      </w:pPr>
    </w:p>
    <w:tbl>
      <w:tblPr>
        <w:tblStyle w:val="8"/>
        <w:tblW w:w="8985" w:type="dxa"/>
        <w:tblInd w:w="0" w:type="dxa"/>
        <w:tblLayout w:type="fixed"/>
        <w:tblCellMar>
          <w:top w:w="0" w:type="dxa"/>
          <w:left w:w="0" w:type="dxa"/>
          <w:bottom w:w="0" w:type="dxa"/>
          <w:right w:w="0" w:type="dxa"/>
        </w:tblCellMar>
      </w:tblPr>
      <w:tblGrid>
        <w:gridCol w:w="555"/>
        <w:gridCol w:w="1260"/>
        <w:gridCol w:w="5460"/>
        <w:gridCol w:w="1710"/>
      </w:tblGrid>
      <w:tr>
        <w:tblPrEx>
          <w:tblLayout w:type="fixed"/>
          <w:tblCellMar>
            <w:top w:w="0" w:type="dxa"/>
            <w:left w:w="0" w:type="dxa"/>
            <w:bottom w:w="0" w:type="dxa"/>
            <w:right w:w="0" w:type="dxa"/>
          </w:tblCellMar>
        </w:tblPrEx>
        <w:trPr>
          <w:trHeight w:val="560" w:hRule="atLeast"/>
        </w:trPr>
        <w:tc>
          <w:tcPr>
            <w:tcW w:w="8985" w:type="dxa"/>
            <w:gridSpan w:val="4"/>
            <w:tcBorders>
              <w:top w:val="nil"/>
              <w:left w:val="nil"/>
              <w:bottom w:val="nil"/>
              <w:right w:val="nil"/>
            </w:tcBorders>
            <w:tcMar>
              <w:top w:w="15" w:type="dxa"/>
              <w:left w:w="15" w:type="dxa"/>
              <w:right w:w="15" w:type="dxa"/>
            </w:tcMar>
            <w:vAlign w:val="center"/>
          </w:tcPr>
          <w:p>
            <w:pPr>
              <w:jc w:val="center"/>
              <w:textAlignment w:val="center"/>
              <w:rPr>
                <w:rFonts w:hint="eastAsia" w:ascii="宋体" w:hAnsi="宋体" w:cs="宋体"/>
                <w:b/>
                <w:color w:val="000000"/>
                <w:sz w:val="32"/>
                <w:szCs w:val="32"/>
                <w:lang w:eastAsia="zh-CN" w:bidi="ar"/>
              </w:rPr>
            </w:pPr>
          </w:p>
          <w:p>
            <w:pPr>
              <w:jc w:val="center"/>
              <w:textAlignment w:val="center"/>
              <w:rPr>
                <w:rFonts w:hint="eastAsia" w:ascii="宋体" w:hAnsi="宋体" w:cs="宋体"/>
                <w:b/>
                <w:color w:val="000000"/>
                <w:sz w:val="32"/>
                <w:szCs w:val="32"/>
                <w:lang w:eastAsia="zh-CN"/>
              </w:rPr>
            </w:pPr>
            <w:r>
              <w:rPr>
                <w:rFonts w:hint="eastAsia" w:ascii="宋体" w:hAnsi="宋体" w:cs="宋体"/>
                <w:b/>
                <w:color w:val="000000"/>
                <w:sz w:val="32"/>
                <w:szCs w:val="32"/>
                <w:lang w:eastAsia="zh-CN" w:bidi="ar"/>
              </w:rPr>
              <w:t>2019年业务工作专项项目明细表</w:t>
            </w:r>
          </w:p>
        </w:tc>
      </w:tr>
      <w:tr>
        <w:tblPrEx>
          <w:tblLayout w:type="fixed"/>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序号</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项目单位</w:t>
            </w:r>
          </w:p>
        </w:tc>
        <w:tc>
          <w:tcPr>
            <w:tcW w:w="5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项目名称</w:t>
            </w:r>
          </w:p>
        </w:tc>
        <w:tc>
          <w:tcPr>
            <w:tcW w:w="17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金额（万元）</w:t>
            </w:r>
          </w:p>
        </w:tc>
      </w:tr>
      <w:tr>
        <w:tblPrEx>
          <w:tblLayout w:type="fixed"/>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1</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省生态环境厅本级</w:t>
            </w:r>
          </w:p>
        </w:tc>
        <w:tc>
          <w:tcPr>
            <w:tcW w:w="5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 xml:space="preserve">      环保党建党务工作</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15.00</w:t>
            </w:r>
          </w:p>
        </w:tc>
      </w:tr>
      <w:tr>
        <w:tblPrEx>
          <w:tblLayout w:type="fixed"/>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2</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 w:val="21"/>
                <w:szCs w:val="21"/>
              </w:rPr>
            </w:pPr>
          </w:p>
        </w:tc>
        <w:tc>
          <w:tcPr>
            <w:tcW w:w="5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 xml:space="preserve">      出国（境）考察费</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60.00</w:t>
            </w:r>
          </w:p>
        </w:tc>
      </w:tr>
      <w:tr>
        <w:tblPrEx>
          <w:tblLayout w:type="fixed"/>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3</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 w:val="21"/>
                <w:szCs w:val="21"/>
              </w:rPr>
            </w:pPr>
          </w:p>
        </w:tc>
        <w:tc>
          <w:tcPr>
            <w:tcW w:w="5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hint="eastAsia" w:ascii="宋体" w:hAnsi="宋体" w:cs="宋体"/>
                <w:color w:val="000000"/>
                <w:sz w:val="21"/>
                <w:szCs w:val="21"/>
                <w:lang w:eastAsia="zh-CN"/>
              </w:rPr>
            </w:pPr>
            <w:r>
              <w:rPr>
                <w:rFonts w:hint="eastAsia" w:ascii="宋体" w:hAnsi="宋体" w:cs="宋体"/>
                <w:color w:val="000000"/>
                <w:sz w:val="21"/>
                <w:szCs w:val="21"/>
                <w:lang w:eastAsia="zh-CN" w:bidi="ar"/>
              </w:rPr>
              <w:t xml:space="preserve">      环保人才引进工作经费</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15.00</w:t>
            </w:r>
          </w:p>
        </w:tc>
      </w:tr>
      <w:tr>
        <w:tblPrEx>
          <w:tblLayout w:type="fixed"/>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4</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 w:val="21"/>
                <w:szCs w:val="21"/>
              </w:rPr>
            </w:pPr>
          </w:p>
        </w:tc>
        <w:tc>
          <w:tcPr>
            <w:tcW w:w="5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hint="eastAsia" w:ascii="宋体" w:hAnsi="宋体" w:cs="宋体"/>
                <w:color w:val="000000"/>
                <w:sz w:val="21"/>
                <w:szCs w:val="21"/>
                <w:lang w:eastAsia="zh-CN"/>
              </w:rPr>
            </w:pPr>
            <w:r>
              <w:rPr>
                <w:rFonts w:hint="eastAsia" w:ascii="宋体" w:hAnsi="宋体" w:cs="宋体"/>
                <w:color w:val="000000"/>
                <w:sz w:val="21"/>
                <w:szCs w:val="21"/>
                <w:lang w:eastAsia="zh-CN" w:bidi="ar"/>
              </w:rPr>
              <w:t xml:space="preserve">      基层党支部标准化建设</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15.00</w:t>
            </w:r>
          </w:p>
        </w:tc>
      </w:tr>
      <w:tr>
        <w:tblPrEx>
          <w:tblLayout w:type="fixed"/>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5</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 w:val="21"/>
                <w:szCs w:val="21"/>
              </w:rPr>
            </w:pPr>
          </w:p>
        </w:tc>
        <w:tc>
          <w:tcPr>
            <w:tcW w:w="5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 xml:space="preserve">      精神文明创建</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10.00</w:t>
            </w:r>
          </w:p>
        </w:tc>
      </w:tr>
      <w:tr>
        <w:tblPrEx>
          <w:tblLayout w:type="fixed"/>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6</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 w:val="21"/>
                <w:szCs w:val="21"/>
              </w:rPr>
            </w:pPr>
          </w:p>
        </w:tc>
        <w:tc>
          <w:tcPr>
            <w:tcW w:w="5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 xml:space="preserve">      机关维修</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120.00</w:t>
            </w:r>
          </w:p>
        </w:tc>
      </w:tr>
      <w:tr>
        <w:tblPrEx>
          <w:tblLayout w:type="fixed"/>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7</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 w:val="21"/>
                <w:szCs w:val="21"/>
              </w:rPr>
            </w:pPr>
          </w:p>
        </w:tc>
        <w:tc>
          <w:tcPr>
            <w:tcW w:w="5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hint="eastAsia" w:ascii="宋体" w:hAnsi="宋体" w:cs="宋体"/>
                <w:color w:val="000000"/>
                <w:sz w:val="21"/>
                <w:szCs w:val="21"/>
                <w:lang w:eastAsia="zh-CN"/>
              </w:rPr>
            </w:pPr>
            <w:r>
              <w:rPr>
                <w:rFonts w:hint="eastAsia" w:ascii="宋体" w:hAnsi="宋体" w:cs="宋体"/>
                <w:color w:val="000000"/>
                <w:sz w:val="21"/>
                <w:szCs w:val="21"/>
                <w:lang w:eastAsia="zh-CN" w:bidi="ar"/>
              </w:rPr>
              <w:t xml:space="preserve">      社会治安综治工作、机关保密、政务公开及档案管理</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10.00</w:t>
            </w:r>
          </w:p>
        </w:tc>
      </w:tr>
      <w:tr>
        <w:tblPrEx>
          <w:tblLayout w:type="fixed"/>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8</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 w:val="21"/>
                <w:szCs w:val="21"/>
              </w:rPr>
            </w:pPr>
          </w:p>
        </w:tc>
        <w:tc>
          <w:tcPr>
            <w:tcW w:w="5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 xml:space="preserve">      系统干部专业培训</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130.00</w:t>
            </w:r>
          </w:p>
        </w:tc>
      </w:tr>
      <w:tr>
        <w:tblPrEx>
          <w:tblLayout w:type="fixed"/>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9</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 w:val="21"/>
                <w:szCs w:val="21"/>
              </w:rPr>
            </w:pPr>
          </w:p>
        </w:tc>
        <w:tc>
          <w:tcPr>
            <w:tcW w:w="5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 xml:space="preserve">      老干工作费用</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25.00</w:t>
            </w:r>
          </w:p>
        </w:tc>
      </w:tr>
      <w:tr>
        <w:tblPrEx>
          <w:tblLayout w:type="fixed"/>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10</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 w:val="21"/>
                <w:szCs w:val="21"/>
              </w:rPr>
            </w:pPr>
          </w:p>
        </w:tc>
        <w:tc>
          <w:tcPr>
            <w:tcW w:w="5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 xml:space="preserve">      污染防治攻坚战</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80.00</w:t>
            </w:r>
          </w:p>
        </w:tc>
      </w:tr>
      <w:tr>
        <w:tblPrEx>
          <w:tblLayout w:type="fixed"/>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11</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 w:val="21"/>
                <w:szCs w:val="21"/>
              </w:rPr>
            </w:pPr>
          </w:p>
        </w:tc>
        <w:tc>
          <w:tcPr>
            <w:tcW w:w="5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hint="eastAsia" w:ascii="宋体" w:hAnsi="宋体" w:cs="宋体"/>
                <w:color w:val="000000"/>
                <w:sz w:val="21"/>
                <w:szCs w:val="21"/>
                <w:lang w:eastAsia="zh-CN"/>
              </w:rPr>
            </w:pPr>
            <w:r>
              <w:rPr>
                <w:rFonts w:hint="eastAsia" w:ascii="宋体" w:hAnsi="宋体" w:cs="宋体"/>
                <w:color w:val="000000"/>
                <w:sz w:val="21"/>
                <w:szCs w:val="21"/>
                <w:lang w:eastAsia="zh-CN" w:bidi="ar"/>
              </w:rPr>
              <w:t xml:space="preserve">      工青妇及“八一”活动经费</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15.00</w:t>
            </w:r>
          </w:p>
        </w:tc>
      </w:tr>
      <w:tr>
        <w:tblPrEx>
          <w:tblLayout w:type="fixed"/>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12</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 w:val="21"/>
                <w:szCs w:val="21"/>
              </w:rPr>
            </w:pPr>
          </w:p>
        </w:tc>
        <w:tc>
          <w:tcPr>
            <w:tcW w:w="5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 xml:space="preserve">      办公设备购置</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100.00</w:t>
            </w:r>
          </w:p>
        </w:tc>
      </w:tr>
      <w:tr>
        <w:tblPrEx>
          <w:tblLayout w:type="fixed"/>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13</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 w:val="21"/>
                <w:szCs w:val="21"/>
              </w:rPr>
            </w:pPr>
          </w:p>
        </w:tc>
        <w:tc>
          <w:tcPr>
            <w:tcW w:w="5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hint="eastAsia" w:ascii="宋体" w:hAnsi="宋体" w:cs="宋体"/>
                <w:color w:val="000000"/>
                <w:sz w:val="21"/>
                <w:szCs w:val="21"/>
                <w:lang w:eastAsia="zh-CN"/>
              </w:rPr>
            </w:pPr>
            <w:r>
              <w:rPr>
                <w:rFonts w:hint="eastAsia" w:ascii="宋体" w:hAnsi="宋体" w:cs="宋体"/>
                <w:color w:val="000000"/>
                <w:sz w:val="21"/>
                <w:szCs w:val="21"/>
                <w:lang w:eastAsia="zh-CN" w:bidi="ar"/>
              </w:rPr>
              <w:t xml:space="preserve">      环保系统党风廉政和惩防体系建设</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15.00</w:t>
            </w:r>
          </w:p>
        </w:tc>
      </w:tr>
      <w:tr>
        <w:tblPrEx>
          <w:tblLayout w:type="fixed"/>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14</w:t>
            </w:r>
          </w:p>
        </w:tc>
        <w:tc>
          <w:tcPr>
            <w:tcW w:w="126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lang w:eastAsia="zh-CN"/>
              </w:rPr>
            </w:pPr>
            <w:r>
              <w:rPr>
                <w:rFonts w:hint="eastAsia" w:ascii="宋体" w:hAnsi="宋体" w:cs="宋体"/>
                <w:color w:val="000000"/>
                <w:sz w:val="21"/>
                <w:szCs w:val="21"/>
                <w:lang w:eastAsia="zh-CN" w:bidi="ar"/>
              </w:rPr>
              <w:t>省生态环境厅系统财务</w:t>
            </w:r>
          </w:p>
        </w:tc>
        <w:tc>
          <w:tcPr>
            <w:tcW w:w="5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hint="eastAsia" w:ascii="宋体" w:hAnsi="宋体" w:cs="宋体"/>
                <w:color w:val="000000"/>
                <w:sz w:val="21"/>
                <w:szCs w:val="21"/>
                <w:lang w:eastAsia="zh-CN"/>
              </w:rPr>
            </w:pPr>
            <w:r>
              <w:rPr>
                <w:rFonts w:hint="eastAsia" w:ascii="宋体" w:hAnsi="宋体" w:cs="宋体"/>
                <w:color w:val="000000"/>
                <w:sz w:val="21"/>
                <w:szCs w:val="21"/>
                <w:lang w:eastAsia="zh-CN" w:bidi="ar"/>
              </w:rPr>
              <w:t xml:space="preserve">      湖南省重污染天气预报预警气象服务</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50.00</w:t>
            </w:r>
          </w:p>
        </w:tc>
      </w:tr>
      <w:tr>
        <w:tblPrEx>
          <w:tblLayout w:type="fixed"/>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15</w:t>
            </w:r>
          </w:p>
        </w:tc>
        <w:tc>
          <w:tcPr>
            <w:tcW w:w="126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 w:val="21"/>
                <w:szCs w:val="21"/>
              </w:rPr>
            </w:pPr>
          </w:p>
        </w:tc>
        <w:tc>
          <w:tcPr>
            <w:tcW w:w="5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hint="eastAsia" w:ascii="宋体" w:hAnsi="宋体" w:cs="宋体"/>
                <w:color w:val="000000"/>
                <w:sz w:val="21"/>
                <w:szCs w:val="21"/>
                <w:lang w:eastAsia="zh-CN"/>
              </w:rPr>
            </w:pPr>
            <w:r>
              <w:rPr>
                <w:rFonts w:hint="eastAsia" w:ascii="宋体" w:hAnsi="宋体" w:cs="宋体"/>
                <w:color w:val="000000"/>
                <w:sz w:val="21"/>
                <w:szCs w:val="21"/>
                <w:lang w:eastAsia="zh-CN" w:bidi="ar"/>
              </w:rPr>
              <w:t xml:space="preserve">      香港、澳门以及东盟环保论坛和展会经费</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40.00</w:t>
            </w:r>
          </w:p>
        </w:tc>
      </w:tr>
      <w:tr>
        <w:tblPrEx>
          <w:tblLayout w:type="fixed"/>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16</w:t>
            </w:r>
          </w:p>
        </w:tc>
        <w:tc>
          <w:tcPr>
            <w:tcW w:w="126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 w:val="21"/>
                <w:szCs w:val="21"/>
              </w:rPr>
            </w:pPr>
          </w:p>
        </w:tc>
        <w:tc>
          <w:tcPr>
            <w:tcW w:w="5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hint="eastAsia" w:ascii="宋体" w:hAnsi="宋体" w:cs="宋体"/>
                <w:color w:val="000000"/>
                <w:sz w:val="21"/>
                <w:szCs w:val="21"/>
                <w:lang w:eastAsia="zh-CN"/>
              </w:rPr>
            </w:pPr>
            <w:r>
              <w:rPr>
                <w:rFonts w:hint="eastAsia" w:ascii="宋体" w:hAnsi="宋体" w:cs="宋体"/>
                <w:color w:val="000000"/>
                <w:sz w:val="21"/>
                <w:szCs w:val="21"/>
                <w:lang w:eastAsia="zh-CN" w:bidi="ar"/>
              </w:rPr>
              <w:t xml:space="preserve">      《湖南环保产业参与“一带一路”生态环保合作规划》编制及合作模式研究</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50.00</w:t>
            </w:r>
          </w:p>
        </w:tc>
      </w:tr>
      <w:tr>
        <w:tblPrEx>
          <w:tblLayout w:type="fixed"/>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17</w:t>
            </w:r>
          </w:p>
        </w:tc>
        <w:tc>
          <w:tcPr>
            <w:tcW w:w="126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 w:val="21"/>
                <w:szCs w:val="21"/>
              </w:rPr>
            </w:pPr>
          </w:p>
        </w:tc>
        <w:tc>
          <w:tcPr>
            <w:tcW w:w="5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hint="eastAsia" w:ascii="宋体" w:hAnsi="宋体" w:cs="宋体"/>
                <w:color w:val="000000"/>
                <w:sz w:val="21"/>
                <w:szCs w:val="21"/>
                <w:lang w:eastAsia="zh-CN"/>
              </w:rPr>
            </w:pPr>
            <w:r>
              <w:rPr>
                <w:rFonts w:hint="eastAsia" w:ascii="宋体" w:hAnsi="宋体" w:cs="宋体"/>
                <w:color w:val="000000"/>
                <w:sz w:val="21"/>
                <w:szCs w:val="21"/>
                <w:lang w:eastAsia="zh-CN" w:bidi="ar"/>
              </w:rPr>
              <w:t xml:space="preserve">      民主促进会对口单位课题研究</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25.00</w:t>
            </w:r>
          </w:p>
        </w:tc>
      </w:tr>
      <w:tr>
        <w:tblPrEx>
          <w:tblLayout w:type="fixed"/>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18</w:t>
            </w:r>
          </w:p>
        </w:tc>
        <w:tc>
          <w:tcPr>
            <w:tcW w:w="126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 w:val="21"/>
                <w:szCs w:val="21"/>
              </w:rPr>
            </w:pPr>
          </w:p>
        </w:tc>
        <w:tc>
          <w:tcPr>
            <w:tcW w:w="5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hint="eastAsia" w:ascii="宋体" w:hAnsi="宋体" w:cs="宋体"/>
                <w:color w:val="000000"/>
                <w:sz w:val="21"/>
                <w:szCs w:val="21"/>
                <w:lang w:eastAsia="zh-CN"/>
              </w:rPr>
            </w:pPr>
            <w:r>
              <w:rPr>
                <w:rFonts w:hint="eastAsia" w:ascii="宋体" w:hAnsi="宋体" w:cs="宋体"/>
                <w:color w:val="000000"/>
                <w:sz w:val="21"/>
                <w:szCs w:val="21"/>
                <w:lang w:eastAsia="zh-CN" w:bidi="ar"/>
              </w:rPr>
              <w:t xml:space="preserve">      省级水质自动站第三方运营</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396.00</w:t>
            </w:r>
          </w:p>
        </w:tc>
      </w:tr>
      <w:tr>
        <w:tblPrEx>
          <w:tblLayout w:type="fixed"/>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19</w:t>
            </w:r>
          </w:p>
        </w:tc>
        <w:tc>
          <w:tcPr>
            <w:tcW w:w="126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 w:val="21"/>
                <w:szCs w:val="21"/>
              </w:rPr>
            </w:pPr>
          </w:p>
        </w:tc>
        <w:tc>
          <w:tcPr>
            <w:tcW w:w="5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hint="eastAsia" w:ascii="宋体" w:hAnsi="宋体" w:cs="宋体"/>
                <w:color w:val="000000"/>
                <w:sz w:val="21"/>
                <w:szCs w:val="21"/>
                <w:lang w:eastAsia="zh-CN"/>
              </w:rPr>
            </w:pPr>
            <w:r>
              <w:rPr>
                <w:rFonts w:hint="eastAsia" w:ascii="宋体" w:hAnsi="宋体" w:cs="宋体"/>
                <w:color w:val="000000"/>
                <w:sz w:val="21"/>
                <w:szCs w:val="21"/>
                <w:lang w:eastAsia="zh-CN" w:bidi="ar"/>
              </w:rPr>
              <w:t xml:space="preserve">      政府购买服务-法律顾问</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20.00</w:t>
            </w:r>
          </w:p>
        </w:tc>
      </w:tr>
      <w:tr>
        <w:tblPrEx>
          <w:tblLayout w:type="fixed"/>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20</w:t>
            </w:r>
          </w:p>
        </w:tc>
        <w:tc>
          <w:tcPr>
            <w:tcW w:w="126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 w:val="21"/>
                <w:szCs w:val="21"/>
              </w:rPr>
            </w:pPr>
          </w:p>
        </w:tc>
        <w:tc>
          <w:tcPr>
            <w:tcW w:w="5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 xml:space="preserve">      主流媒体合作</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260.00</w:t>
            </w:r>
          </w:p>
        </w:tc>
      </w:tr>
      <w:tr>
        <w:tblPrEx>
          <w:tblLayout w:type="fixed"/>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21</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省环科院</w:t>
            </w:r>
          </w:p>
        </w:tc>
        <w:tc>
          <w:tcPr>
            <w:tcW w:w="5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hint="eastAsia" w:ascii="宋体" w:hAnsi="宋体" w:cs="宋体"/>
                <w:color w:val="000000"/>
                <w:sz w:val="21"/>
                <w:szCs w:val="21"/>
                <w:lang w:eastAsia="zh-CN"/>
              </w:rPr>
            </w:pPr>
            <w:r>
              <w:rPr>
                <w:rFonts w:hint="eastAsia" w:ascii="宋体" w:hAnsi="宋体" w:cs="宋体"/>
                <w:color w:val="000000"/>
                <w:sz w:val="21"/>
                <w:szCs w:val="21"/>
                <w:lang w:eastAsia="zh-CN" w:bidi="ar"/>
              </w:rPr>
              <w:t xml:space="preserve">      污染防治攻坚战项目技术支撑</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305.00</w:t>
            </w:r>
          </w:p>
        </w:tc>
      </w:tr>
      <w:tr>
        <w:tblPrEx>
          <w:tblLayout w:type="fixed"/>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22</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省生态环境事务中心</w:t>
            </w:r>
          </w:p>
        </w:tc>
        <w:tc>
          <w:tcPr>
            <w:tcW w:w="5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 xml:space="preserve">      刷卡排污</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48.00</w:t>
            </w:r>
          </w:p>
        </w:tc>
      </w:tr>
      <w:tr>
        <w:tblPrEx>
          <w:tblLayout w:type="fixed"/>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23</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 w:val="21"/>
                <w:szCs w:val="21"/>
              </w:rPr>
            </w:pPr>
          </w:p>
        </w:tc>
        <w:tc>
          <w:tcPr>
            <w:tcW w:w="5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hint="eastAsia" w:ascii="宋体" w:hAnsi="宋体" w:cs="宋体"/>
                <w:color w:val="000000"/>
                <w:sz w:val="21"/>
                <w:szCs w:val="21"/>
                <w:lang w:eastAsia="zh-CN"/>
              </w:rPr>
            </w:pPr>
            <w:r>
              <w:rPr>
                <w:rFonts w:hint="eastAsia" w:ascii="宋体" w:hAnsi="宋体" w:cs="宋体"/>
                <w:color w:val="000000"/>
                <w:sz w:val="21"/>
                <w:szCs w:val="21"/>
                <w:lang w:eastAsia="zh-CN" w:bidi="ar"/>
              </w:rPr>
              <w:t xml:space="preserve">      信息系统与安全整体运维</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280.50</w:t>
            </w:r>
          </w:p>
        </w:tc>
      </w:tr>
      <w:tr>
        <w:tblPrEx>
          <w:tblLayout w:type="fixed"/>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24</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 w:val="21"/>
                <w:szCs w:val="21"/>
              </w:rPr>
            </w:pPr>
          </w:p>
        </w:tc>
        <w:tc>
          <w:tcPr>
            <w:tcW w:w="5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hint="eastAsia" w:ascii="宋体" w:hAnsi="宋体" w:cs="宋体"/>
                <w:color w:val="000000"/>
                <w:sz w:val="21"/>
                <w:szCs w:val="21"/>
                <w:lang w:eastAsia="zh-CN"/>
              </w:rPr>
            </w:pPr>
            <w:r>
              <w:rPr>
                <w:rFonts w:hint="eastAsia" w:ascii="宋体" w:hAnsi="宋体" w:cs="宋体"/>
                <w:color w:val="000000"/>
                <w:sz w:val="21"/>
                <w:szCs w:val="21"/>
                <w:lang w:eastAsia="zh-CN" w:bidi="ar"/>
              </w:rPr>
              <w:t xml:space="preserve">      平台运维及排污权收费稽查与审计</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26.20</w:t>
            </w:r>
          </w:p>
        </w:tc>
      </w:tr>
      <w:tr>
        <w:tblPrEx>
          <w:tblLayout w:type="fixed"/>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25</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 w:val="21"/>
                <w:szCs w:val="21"/>
              </w:rPr>
            </w:pPr>
          </w:p>
        </w:tc>
        <w:tc>
          <w:tcPr>
            <w:tcW w:w="5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hint="eastAsia" w:ascii="宋体" w:hAnsi="宋体" w:cs="宋体"/>
                <w:color w:val="000000"/>
                <w:sz w:val="21"/>
                <w:szCs w:val="21"/>
                <w:lang w:eastAsia="zh-CN"/>
              </w:rPr>
            </w:pPr>
            <w:r>
              <w:rPr>
                <w:rFonts w:hint="eastAsia" w:ascii="宋体" w:hAnsi="宋体" w:cs="宋体"/>
                <w:color w:val="000000"/>
                <w:sz w:val="21"/>
                <w:szCs w:val="21"/>
                <w:lang w:eastAsia="zh-CN" w:bidi="ar"/>
              </w:rPr>
              <w:t xml:space="preserve">      排污许可证实施推进工作</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30.00</w:t>
            </w:r>
          </w:p>
        </w:tc>
      </w:tr>
      <w:tr>
        <w:tblPrEx>
          <w:tblLayout w:type="fixed"/>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26</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 w:val="21"/>
                <w:szCs w:val="21"/>
              </w:rPr>
            </w:pPr>
          </w:p>
        </w:tc>
        <w:tc>
          <w:tcPr>
            <w:tcW w:w="5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 xml:space="preserve">      环境影响技术评估</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70.00</w:t>
            </w:r>
          </w:p>
        </w:tc>
      </w:tr>
      <w:tr>
        <w:tblPrEx>
          <w:tblLayout w:type="fixed"/>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27</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 w:val="21"/>
                <w:szCs w:val="21"/>
              </w:rPr>
            </w:pPr>
          </w:p>
        </w:tc>
        <w:tc>
          <w:tcPr>
            <w:tcW w:w="5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 xml:space="preserve">      “三线一单”编制</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214.39</w:t>
            </w:r>
          </w:p>
        </w:tc>
      </w:tr>
      <w:tr>
        <w:tblPrEx>
          <w:tblLayout w:type="fixed"/>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28</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南岳空气背景站</w:t>
            </w:r>
          </w:p>
        </w:tc>
        <w:tc>
          <w:tcPr>
            <w:tcW w:w="5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hint="eastAsia" w:ascii="宋体" w:hAnsi="宋体" w:cs="宋体"/>
                <w:color w:val="000000"/>
                <w:sz w:val="21"/>
                <w:szCs w:val="21"/>
                <w:lang w:eastAsia="zh-CN"/>
              </w:rPr>
            </w:pPr>
            <w:r>
              <w:rPr>
                <w:rFonts w:hint="eastAsia" w:ascii="宋体" w:hAnsi="宋体" w:cs="宋体"/>
                <w:color w:val="000000"/>
                <w:sz w:val="21"/>
                <w:szCs w:val="21"/>
                <w:lang w:eastAsia="zh-CN" w:bidi="ar"/>
              </w:rPr>
              <w:t xml:space="preserve">      空气质量背景站自动化监测网络运行维护</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70.00</w:t>
            </w:r>
          </w:p>
        </w:tc>
      </w:tr>
      <w:tr>
        <w:tblPrEx>
          <w:tblLayout w:type="fixed"/>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29</w:t>
            </w:r>
          </w:p>
        </w:tc>
        <w:tc>
          <w:tcPr>
            <w:tcW w:w="126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省环境监测中心站</w:t>
            </w:r>
          </w:p>
        </w:tc>
        <w:tc>
          <w:tcPr>
            <w:tcW w:w="5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hint="eastAsia" w:ascii="宋体" w:hAnsi="宋体" w:cs="宋体"/>
                <w:color w:val="000000"/>
                <w:sz w:val="21"/>
                <w:szCs w:val="21"/>
                <w:lang w:eastAsia="zh-CN"/>
              </w:rPr>
            </w:pPr>
            <w:r>
              <w:rPr>
                <w:rFonts w:hint="eastAsia" w:ascii="宋体" w:hAnsi="宋体" w:cs="宋体"/>
                <w:color w:val="000000"/>
                <w:sz w:val="21"/>
                <w:szCs w:val="21"/>
                <w:lang w:eastAsia="zh-CN" w:bidi="ar"/>
              </w:rPr>
              <w:t xml:space="preserve">      省环境监测中心站仪器设备维护运行与更新</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100.00</w:t>
            </w:r>
          </w:p>
        </w:tc>
      </w:tr>
      <w:tr>
        <w:tblPrEx>
          <w:tblLayout w:type="fixed"/>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30</w:t>
            </w:r>
          </w:p>
        </w:tc>
        <w:tc>
          <w:tcPr>
            <w:tcW w:w="126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 w:val="21"/>
                <w:szCs w:val="21"/>
              </w:rPr>
            </w:pPr>
          </w:p>
        </w:tc>
        <w:tc>
          <w:tcPr>
            <w:tcW w:w="5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hint="eastAsia" w:ascii="宋体" w:hAnsi="宋体" w:cs="宋体"/>
                <w:color w:val="000000"/>
                <w:sz w:val="21"/>
                <w:szCs w:val="21"/>
                <w:lang w:eastAsia="zh-CN"/>
              </w:rPr>
            </w:pPr>
            <w:r>
              <w:rPr>
                <w:rFonts w:hint="eastAsia" w:ascii="宋体" w:hAnsi="宋体" w:cs="宋体"/>
                <w:color w:val="000000"/>
                <w:sz w:val="21"/>
                <w:szCs w:val="21"/>
                <w:lang w:eastAsia="zh-CN" w:bidi="ar"/>
              </w:rPr>
              <w:t xml:space="preserve">      环境质量与污染源监测业务经费</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100.00</w:t>
            </w:r>
          </w:p>
        </w:tc>
      </w:tr>
      <w:tr>
        <w:tblPrEx>
          <w:tblLayout w:type="fixed"/>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31</w:t>
            </w:r>
          </w:p>
        </w:tc>
        <w:tc>
          <w:tcPr>
            <w:tcW w:w="126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 w:val="21"/>
                <w:szCs w:val="21"/>
              </w:rPr>
            </w:pPr>
          </w:p>
        </w:tc>
        <w:tc>
          <w:tcPr>
            <w:tcW w:w="5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 xml:space="preserve">      党委活动经费</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33.00</w:t>
            </w:r>
          </w:p>
        </w:tc>
      </w:tr>
      <w:tr>
        <w:tblPrEx>
          <w:tblLayout w:type="fixed"/>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32</w:t>
            </w:r>
          </w:p>
        </w:tc>
        <w:tc>
          <w:tcPr>
            <w:tcW w:w="126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 w:val="21"/>
                <w:szCs w:val="21"/>
              </w:rPr>
            </w:pPr>
          </w:p>
        </w:tc>
        <w:tc>
          <w:tcPr>
            <w:tcW w:w="5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 xml:space="preserve">      日元贷款还款项目</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43.00</w:t>
            </w:r>
          </w:p>
        </w:tc>
      </w:tr>
      <w:tr>
        <w:tblPrEx>
          <w:tblLayout w:type="fixed"/>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33</w:t>
            </w:r>
          </w:p>
        </w:tc>
        <w:tc>
          <w:tcPr>
            <w:tcW w:w="126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 w:val="21"/>
                <w:szCs w:val="21"/>
              </w:rPr>
            </w:pPr>
          </w:p>
        </w:tc>
        <w:tc>
          <w:tcPr>
            <w:tcW w:w="5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 xml:space="preserve">      老干支部活动经费</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4.92</w:t>
            </w:r>
          </w:p>
        </w:tc>
      </w:tr>
      <w:tr>
        <w:tblPrEx>
          <w:tblLayout w:type="fixed"/>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34</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lang w:eastAsia="zh-CN"/>
              </w:rPr>
            </w:pPr>
            <w:r>
              <w:rPr>
                <w:rFonts w:hint="eastAsia" w:ascii="宋体" w:hAnsi="宋体" w:cs="宋体"/>
                <w:color w:val="000000"/>
                <w:sz w:val="21"/>
                <w:szCs w:val="21"/>
                <w:lang w:eastAsia="zh-CN" w:bidi="ar"/>
              </w:rPr>
              <w:t>长沙环保职业技术学院</w:t>
            </w:r>
          </w:p>
        </w:tc>
        <w:tc>
          <w:tcPr>
            <w:tcW w:w="5460"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hint="eastAsia" w:ascii="宋体" w:hAnsi="宋体" w:cs="宋体"/>
                <w:color w:val="000000"/>
                <w:sz w:val="21"/>
                <w:szCs w:val="21"/>
                <w:lang w:eastAsia="zh-CN"/>
              </w:rPr>
            </w:pPr>
            <w:r>
              <w:rPr>
                <w:rFonts w:hint="eastAsia" w:ascii="宋体" w:hAnsi="宋体" w:cs="宋体"/>
                <w:color w:val="000000"/>
                <w:sz w:val="21"/>
                <w:szCs w:val="21"/>
                <w:lang w:eastAsia="zh-CN" w:bidi="ar"/>
              </w:rPr>
              <w:t xml:space="preserve">      排污许可证技术支持项目</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40.00</w:t>
            </w:r>
          </w:p>
        </w:tc>
      </w:tr>
      <w:tr>
        <w:tblPrEx>
          <w:tblLayout w:type="fixed"/>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35</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 w:val="21"/>
                <w:szCs w:val="21"/>
              </w:rPr>
            </w:pPr>
          </w:p>
        </w:tc>
        <w:tc>
          <w:tcPr>
            <w:tcW w:w="5460"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 xml:space="preserve">      招生经费</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116.00</w:t>
            </w:r>
          </w:p>
        </w:tc>
      </w:tr>
      <w:tr>
        <w:tblPrEx>
          <w:tblLayout w:type="fixed"/>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36</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 w:val="21"/>
                <w:szCs w:val="21"/>
              </w:rPr>
            </w:pPr>
          </w:p>
        </w:tc>
        <w:tc>
          <w:tcPr>
            <w:tcW w:w="5460"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 xml:space="preserve">      教学办公设备购置</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85.70</w:t>
            </w:r>
          </w:p>
        </w:tc>
      </w:tr>
      <w:tr>
        <w:tblPrEx>
          <w:tblLayout w:type="fixed"/>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37</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 w:val="21"/>
                <w:szCs w:val="21"/>
              </w:rPr>
            </w:pPr>
          </w:p>
        </w:tc>
        <w:tc>
          <w:tcPr>
            <w:tcW w:w="5460"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 xml:space="preserve">      给排水改造</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200.00</w:t>
            </w:r>
          </w:p>
        </w:tc>
      </w:tr>
      <w:tr>
        <w:tblPrEx>
          <w:tblLayout w:type="fixed"/>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38</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 w:val="21"/>
                <w:szCs w:val="21"/>
              </w:rPr>
            </w:pPr>
          </w:p>
        </w:tc>
        <w:tc>
          <w:tcPr>
            <w:tcW w:w="5460"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 xml:space="preserve">      往年欠款</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200.00</w:t>
            </w:r>
          </w:p>
        </w:tc>
      </w:tr>
      <w:tr>
        <w:tblPrEx>
          <w:tblLayout w:type="fixed"/>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39</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 w:val="21"/>
                <w:szCs w:val="21"/>
              </w:rPr>
            </w:pPr>
          </w:p>
        </w:tc>
        <w:tc>
          <w:tcPr>
            <w:tcW w:w="5460"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 xml:space="preserve">      系统干部培训班</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100.00</w:t>
            </w:r>
          </w:p>
        </w:tc>
      </w:tr>
      <w:tr>
        <w:tblPrEx>
          <w:tblLayout w:type="fixed"/>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40</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 w:val="21"/>
                <w:szCs w:val="21"/>
              </w:rPr>
            </w:pPr>
          </w:p>
        </w:tc>
        <w:tc>
          <w:tcPr>
            <w:tcW w:w="5460"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 xml:space="preserve">      暑假维修</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200.00</w:t>
            </w:r>
          </w:p>
        </w:tc>
      </w:tr>
      <w:tr>
        <w:tblPrEx>
          <w:tblLayout w:type="fixed"/>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41</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 w:val="21"/>
                <w:szCs w:val="21"/>
              </w:rPr>
            </w:pPr>
          </w:p>
        </w:tc>
        <w:tc>
          <w:tcPr>
            <w:tcW w:w="5460"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 xml:space="preserve">      就业指导经费</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101.00</w:t>
            </w:r>
          </w:p>
        </w:tc>
      </w:tr>
      <w:tr>
        <w:tblPrEx>
          <w:tblLayout w:type="fixed"/>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42</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 w:val="21"/>
                <w:szCs w:val="21"/>
              </w:rPr>
            </w:pPr>
          </w:p>
        </w:tc>
        <w:tc>
          <w:tcPr>
            <w:tcW w:w="5460"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hint="eastAsia" w:ascii="宋体" w:hAnsi="宋体" w:cs="宋体"/>
                <w:color w:val="000000"/>
                <w:sz w:val="21"/>
                <w:szCs w:val="21"/>
                <w:lang w:eastAsia="zh-CN"/>
              </w:rPr>
            </w:pPr>
            <w:r>
              <w:rPr>
                <w:rFonts w:hint="eastAsia" w:ascii="宋体" w:hAnsi="宋体" w:cs="宋体"/>
                <w:color w:val="000000"/>
                <w:sz w:val="21"/>
                <w:szCs w:val="21"/>
                <w:lang w:eastAsia="zh-CN" w:bidi="ar"/>
              </w:rPr>
              <w:t xml:space="preserve">      村镇污水处理设施主要水污染物排放标准</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15.00</w:t>
            </w:r>
          </w:p>
        </w:tc>
      </w:tr>
      <w:tr>
        <w:tblPrEx>
          <w:tblLayout w:type="fixed"/>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43</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 w:val="21"/>
                <w:szCs w:val="21"/>
              </w:rPr>
            </w:pPr>
          </w:p>
        </w:tc>
        <w:tc>
          <w:tcPr>
            <w:tcW w:w="5460"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hint="eastAsia" w:ascii="宋体" w:hAnsi="宋体" w:cs="宋体"/>
                <w:color w:val="000000"/>
                <w:sz w:val="21"/>
                <w:szCs w:val="21"/>
                <w:lang w:eastAsia="zh-CN"/>
              </w:rPr>
            </w:pPr>
            <w:r>
              <w:rPr>
                <w:rFonts w:hint="eastAsia" w:ascii="宋体" w:hAnsi="宋体" w:cs="宋体"/>
                <w:color w:val="000000"/>
                <w:sz w:val="21"/>
                <w:szCs w:val="21"/>
                <w:lang w:eastAsia="zh-CN" w:bidi="ar"/>
              </w:rPr>
              <w:t xml:space="preserve">      三线一单技术支持项目</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40.00</w:t>
            </w:r>
          </w:p>
        </w:tc>
      </w:tr>
      <w:tr>
        <w:tblPrEx>
          <w:tblLayout w:type="fixed"/>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44</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 w:val="21"/>
                <w:szCs w:val="21"/>
              </w:rPr>
            </w:pPr>
          </w:p>
        </w:tc>
        <w:tc>
          <w:tcPr>
            <w:tcW w:w="5460"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 xml:space="preserve">      电力改造</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200.00</w:t>
            </w:r>
          </w:p>
        </w:tc>
      </w:tr>
      <w:tr>
        <w:tblPrEx>
          <w:tblLayout w:type="fixed"/>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45</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 w:val="21"/>
                <w:szCs w:val="21"/>
              </w:rPr>
            </w:pPr>
          </w:p>
        </w:tc>
        <w:tc>
          <w:tcPr>
            <w:tcW w:w="5460"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hint="eastAsia" w:ascii="宋体" w:hAnsi="宋体" w:cs="宋体"/>
                <w:color w:val="000000"/>
                <w:sz w:val="21"/>
                <w:szCs w:val="21"/>
                <w:lang w:eastAsia="zh-CN"/>
              </w:rPr>
            </w:pPr>
            <w:r>
              <w:rPr>
                <w:rFonts w:hint="eastAsia" w:ascii="宋体" w:hAnsi="宋体" w:cs="宋体"/>
                <w:color w:val="000000"/>
                <w:sz w:val="21"/>
                <w:szCs w:val="21"/>
                <w:lang w:eastAsia="zh-CN" w:bidi="ar"/>
              </w:rPr>
              <w:t xml:space="preserve">      湖南省环境保护条例修订</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40.00</w:t>
            </w:r>
          </w:p>
        </w:tc>
      </w:tr>
      <w:tr>
        <w:tblPrEx>
          <w:tblLayout w:type="fixed"/>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46</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 w:val="21"/>
                <w:szCs w:val="21"/>
              </w:rPr>
            </w:pPr>
          </w:p>
        </w:tc>
        <w:tc>
          <w:tcPr>
            <w:tcW w:w="5460"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 xml:space="preserve">      教学、科研经费</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978.22</w:t>
            </w:r>
          </w:p>
        </w:tc>
      </w:tr>
      <w:tr>
        <w:tblPrEx>
          <w:tblLayout w:type="fixed"/>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47</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 w:val="21"/>
                <w:szCs w:val="21"/>
              </w:rPr>
            </w:pPr>
          </w:p>
        </w:tc>
        <w:tc>
          <w:tcPr>
            <w:tcW w:w="5460"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hint="eastAsia" w:ascii="宋体" w:hAnsi="宋体" w:cs="宋体"/>
                <w:color w:val="000000"/>
                <w:sz w:val="21"/>
                <w:szCs w:val="21"/>
                <w:lang w:eastAsia="zh-CN"/>
              </w:rPr>
            </w:pPr>
            <w:r>
              <w:rPr>
                <w:rFonts w:hint="eastAsia" w:ascii="宋体" w:hAnsi="宋体" w:cs="宋体"/>
                <w:color w:val="000000"/>
                <w:sz w:val="21"/>
                <w:szCs w:val="21"/>
                <w:lang w:eastAsia="zh-CN" w:bidi="ar"/>
              </w:rPr>
              <w:t xml:space="preserve">      自然保护地调查项目（绿盾行动）</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35.00</w:t>
            </w:r>
          </w:p>
        </w:tc>
      </w:tr>
      <w:tr>
        <w:tblPrEx>
          <w:tblLayout w:type="fixed"/>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48</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 w:val="21"/>
                <w:szCs w:val="21"/>
              </w:rPr>
            </w:pPr>
          </w:p>
        </w:tc>
        <w:tc>
          <w:tcPr>
            <w:tcW w:w="5460"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 xml:space="preserve">      环境监测技能大赛</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40.00</w:t>
            </w:r>
          </w:p>
        </w:tc>
      </w:tr>
      <w:tr>
        <w:tblPrEx>
          <w:tblLayout w:type="fixed"/>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49</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省辐射监督管理站</w:t>
            </w:r>
          </w:p>
        </w:tc>
        <w:tc>
          <w:tcPr>
            <w:tcW w:w="5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hint="eastAsia" w:ascii="宋体" w:hAnsi="宋体" w:cs="宋体"/>
                <w:color w:val="000000"/>
                <w:sz w:val="21"/>
                <w:szCs w:val="21"/>
                <w:lang w:eastAsia="zh-CN"/>
              </w:rPr>
            </w:pPr>
            <w:r>
              <w:rPr>
                <w:rFonts w:hint="eastAsia" w:ascii="宋体" w:hAnsi="宋体" w:cs="宋体"/>
                <w:color w:val="000000"/>
                <w:sz w:val="21"/>
                <w:szCs w:val="21"/>
                <w:lang w:eastAsia="zh-CN" w:bidi="ar"/>
              </w:rPr>
              <w:t xml:space="preserve">      放射源收贮及城市放射性废物库运维</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180.00</w:t>
            </w:r>
          </w:p>
        </w:tc>
      </w:tr>
      <w:tr>
        <w:tblPrEx>
          <w:tblLayout w:type="fixed"/>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50</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 w:val="21"/>
                <w:szCs w:val="21"/>
              </w:rPr>
            </w:pPr>
          </w:p>
        </w:tc>
        <w:tc>
          <w:tcPr>
            <w:tcW w:w="5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hint="eastAsia" w:ascii="宋体" w:hAnsi="宋体" w:cs="宋体"/>
                <w:color w:val="000000"/>
                <w:sz w:val="21"/>
                <w:szCs w:val="21"/>
                <w:lang w:eastAsia="zh-CN"/>
              </w:rPr>
            </w:pPr>
            <w:r>
              <w:rPr>
                <w:rFonts w:hint="eastAsia" w:ascii="宋体" w:hAnsi="宋体" w:cs="宋体"/>
                <w:color w:val="000000"/>
                <w:sz w:val="21"/>
                <w:szCs w:val="21"/>
                <w:lang w:eastAsia="zh-CN" w:bidi="ar"/>
              </w:rPr>
              <w:t xml:space="preserve">      实验室运维和核与辐射应急平台运维</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50.00</w:t>
            </w:r>
          </w:p>
        </w:tc>
      </w:tr>
      <w:tr>
        <w:tblPrEx>
          <w:tblLayout w:type="fixed"/>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51</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省洞庭湖监测中心</w:t>
            </w:r>
          </w:p>
        </w:tc>
        <w:tc>
          <w:tcPr>
            <w:tcW w:w="5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hint="eastAsia" w:ascii="宋体" w:hAnsi="宋体" w:cs="宋体"/>
                <w:color w:val="000000"/>
                <w:sz w:val="21"/>
                <w:szCs w:val="21"/>
                <w:lang w:eastAsia="zh-CN"/>
              </w:rPr>
            </w:pPr>
            <w:r>
              <w:rPr>
                <w:rFonts w:hint="eastAsia" w:ascii="宋体" w:hAnsi="宋体" w:cs="宋体"/>
                <w:color w:val="000000"/>
                <w:sz w:val="21"/>
                <w:szCs w:val="21"/>
                <w:lang w:eastAsia="zh-CN" w:bidi="ar"/>
              </w:rPr>
              <w:t xml:space="preserve">      实验室仪器维护运行与更新</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100.00</w:t>
            </w:r>
          </w:p>
        </w:tc>
      </w:tr>
      <w:tr>
        <w:tblPrEx>
          <w:tblLayout w:type="fixed"/>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52</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 w:val="21"/>
                <w:szCs w:val="21"/>
              </w:rPr>
            </w:pPr>
          </w:p>
        </w:tc>
        <w:tc>
          <w:tcPr>
            <w:tcW w:w="5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hint="eastAsia" w:ascii="宋体" w:hAnsi="宋体" w:cs="宋体"/>
                <w:color w:val="000000"/>
                <w:sz w:val="21"/>
                <w:szCs w:val="21"/>
                <w:lang w:eastAsia="zh-CN"/>
              </w:rPr>
            </w:pPr>
            <w:r>
              <w:rPr>
                <w:rFonts w:hint="eastAsia" w:ascii="宋体" w:hAnsi="宋体" w:cs="宋体"/>
                <w:color w:val="000000"/>
                <w:sz w:val="21"/>
                <w:szCs w:val="21"/>
                <w:lang w:eastAsia="zh-CN" w:bidi="ar"/>
              </w:rPr>
              <w:t xml:space="preserve">      环境质量水质和土壤监测网运行补助</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40.00</w:t>
            </w:r>
          </w:p>
        </w:tc>
      </w:tr>
      <w:tr>
        <w:tblPrEx>
          <w:tblLayout w:type="fixed"/>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53</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省固体废物管理站</w:t>
            </w:r>
          </w:p>
        </w:tc>
        <w:tc>
          <w:tcPr>
            <w:tcW w:w="5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hint="eastAsia" w:ascii="宋体" w:hAnsi="宋体" w:cs="宋体"/>
                <w:color w:val="000000"/>
                <w:sz w:val="21"/>
                <w:szCs w:val="21"/>
                <w:lang w:eastAsia="zh-CN"/>
              </w:rPr>
            </w:pPr>
            <w:r>
              <w:rPr>
                <w:rFonts w:hint="eastAsia" w:ascii="宋体" w:hAnsi="宋体" w:cs="宋体"/>
                <w:color w:val="000000"/>
                <w:sz w:val="21"/>
                <w:szCs w:val="21"/>
                <w:lang w:eastAsia="zh-CN" w:bidi="ar"/>
              </w:rPr>
              <w:t xml:space="preserve">      废弃电器电子产品处理监管和审核</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40.00</w:t>
            </w:r>
          </w:p>
        </w:tc>
      </w:tr>
      <w:tr>
        <w:tblPrEx>
          <w:tblLayout w:type="fixed"/>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54</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 w:val="21"/>
                <w:szCs w:val="21"/>
              </w:rPr>
            </w:pPr>
          </w:p>
        </w:tc>
        <w:tc>
          <w:tcPr>
            <w:tcW w:w="5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hint="eastAsia" w:ascii="宋体" w:hAnsi="宋体" w:cs="宋体"/>
                <w:color w:val="000000"/>
                <w:sz w:val="21"/>
                <w:szCs w:val="21"/>
                <w:lang w:eastAsia="zh-CN"/>
              </w:rPr>
            </w:pPr>
            <w:r>
              <w:rPr>
                <w:rFonts w:hint="eastAsia" w:ascii="宋体" w:hAnsi="宋体" w:cs="宋体"/>
                <w:color w:val="000000"/>
                <w:sz w:val="21"/>
                <w:szCs w:val="21"/>
                <w:lang w:eastAsia="zh-CN" w:bidi="ar"/>
              </w:rPr>
              <w:t xml:space="preserve">      委托第三方开展危险废物管理考核审核</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40.00</w:t>
            </w:r>
          </w:p>
        </w:tc>
      </w:tr>
      <w:tr>
        <w:tblPrEx>
          <w:tblLayout w:type="fixed"/>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55</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省环境监察局</w:t>
            </w:r>
          </w:p>
        </w:tc>
        <w:tc>
          <w:tcPr>
            <w:tcW w:w="5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hint="eastAsia" w:ascii="宋体" w:hAnsi="宋体" w:cs="宋体"/>
                <w:color w:val="000000"/>
                <w:sz w:val="21"/>
                <w:szCs w:val="21"/>
                <w:lang w:eastAsia="zh-CN"/>
              </w:rPr>
            </w:pPr>
            <w:r>
              <w:rPr>
                <w:rFonts w:hint="eastAsia" w:ascii="宋体" w:hAnsi="宋体" w:cs="宋体"/>
                <w:color w:val="000000"/>
                <w:sz w:val="21"/>
                <w:szCs w:val="21"/>
                <w:lang w:eastAsia="zh-CN" w:bidi="ar"/>
              </w:rPr>
              <w:t xml:space="preserve">      环境监察执法船运行、维护经费</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30.00</w:t>
            </w:r>
          </w:p>
        </w:tc>
      </w:tr>
      <w:tr>
        <w:tblPrEx>
          <w:tblLayout w:type="fixed"/>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56</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 w:val="21"/>
                <w:szCs w:val="21"/>
              </w:rPr>
            </w:pPr>
          </w:p>
        </w:tc>
        <w:tc>
          <w:tcPr>
            <w:tcW w:w="5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hint="eastAsia" w:ascii="宋体" w:hAnsi="宋体" w:cs="宋体"/>
                <w:color w:val="000000"/>
                <w:sz w:val="21"/>
                <w:szCs w:val="21"/>
                <w:lang w:eastAsia="zh-CN"/>
              </w:rPr>
            </w:pPr>
            <w:r>
              <w:rPr>
                <w:rFonts w:hint="eastAsia" w:ascii="宋体" w:hAnsi="宋体" w:cs="宋体"/>
                <w:color w:val="000000"/>
                <w:sz w:val="21"/>
                <w:szCs w:val="21"/>
                <w:lang w:eastAsia="zh-CN" w:bidi="ar"/>
              </w:rPr>
              <w:t xml:space="preserve">      “两法衔接”工作经费</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20.00</w:t>
            </w:r>
          </w:p>
        </w:tc>
      </w:tr>
      <w:tr>
        <w:tblPrEx>
          <w:tblLayout w:type="fixed"/>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57</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 w:val="21"/>
                <w:szCs w:val="21"/>
              </w:rPr>
            </w:pPr>
          </w:p>
        </w:tc>
        <w:tc>
          <w:tcPr>
            <w:tcW w:w="5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hint="eastAsia" w:ascii="宋体" w:hAnsi="宋体" w:cs="宋体"/>
                <w:color w:val="000000"/>
                <w:sz w:val="21"/>
                <w:szCs w:val="21"/>
                <w:lang w:eastAsia="zh-CN"/>
              </w:rPr>
            </w:pPr>
            <w:r>
              <w:rPr>
                <w:rFonts w:hint="eastAsia" w:ascii="宋体" w:hAnsi="宋体" w:cs="宋体"/>
                <w:color w:val="000000"/>
                <w:sz w:val="21"/>
                <w:szCs w:val="21"/>
                <w:lang w:eastAsia="zh-CN" w:bidi="ar"/>
              </w:rPr>
              <w:t xml:space="preserve">      环境监察稽查执法工作经费</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70.00</w:t>
            </w:r>
          </w:p>
        </w:tc>
      </w:tr>
      <w:tr>
        <w:tblPrEx>
          <w:tblLayout w:type="fixed"/>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58</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 w:val="21"/>
                <w:szCs w:val="21"/>
              </w:rPr>
            </w:pPr>
          </w:p>
        </w:tc>
        <w:tc>
          <w:tcPr>
            <w:tcW w:w="5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rFonts w:hint="eastAsia" w:ascii="宋体" w:hAnsi="宋体" w:cs="宋体"/>
                <w:color w:val="000000"/>
                <w:sz w:val="21"/>
                <w:szCs w:val="21"/>
                <w:lang w:eastAsia="zh-CN"/>
              </w:rPr>
            </w:pPr>
            <w:r>
              <w:rPr>
                <w:rFonts w:hint="eastAsia" w:ascii="宋体" w:hAnsi="宋体" w:cs="宋体"/>
                <w:color w:val="000000"/>
                <w:sz w:val="21"/>
                <w:szCs w:val="21"/>
                <w:lang w:eastAsia="zh-CN" w:bidi="ar"/>
              </w:rPr>
              <w:t xml:space="preserve">      环保督查专项工作经费</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130.00</w:t>
            </w:r>
          </w:p>
        </w:tc>
      </w:tr>
      <w:tr>
        <w:tblPrEx>
          <w:tblLayout w:type="fixed"/>
          <w:tblCellMar>
            <w:top w:w="0" w:type="dxa"/>
            <w:left w:w="0" w:type="dxa"/>
            <w:bottom w:w="0" w:type="dxa"/>
            <w:right w:w="0" w:type="dxa"/>
          </w:tblCellMar>
        </w:tblPrEx>
        <w:trPr>
          <w:trHeight w:val="540" w:hRule="atLeast"/>
        </w:trPr>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1"/>
                <w:szCs w:val="21"/>
              </w:rPr>
            </w:pP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1"/>
                <w:szCs w:val="21"/>
              </w:rPr>
            </w:pPr>
          </w:p>
        </w:tc>
        <w:tc>
          <w:tcPr>
            <w:tcW w:w="5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合计</w:t>
            </w:r>
          </w:p>
        </w:tc>
        <w:tc>
          <w:tcPr>
            <w:tcW w:w="17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5866.93</w:t>
            </w:r>
          </w:p>
        </w:tc>
      </w:tr>
    </w:tbl>
    <w:p>
      <w:pPr>
        <w:autoSpaceDE w:val="0"/>
        <w:autoSpaceDN w:val="0"/>
        <w:adjustRightInd w:val="0"/>
        <w:spacing w:line="360" w:lineRule="auto"/>
        <w:jc w:val="center"/>
        <w:rPr>
          <w:rFonts w:hint="eastAsia" w:ascii="宋体" w:cs="宋体"/>
          <w:b/>
          <w:bCs/>
          <w:lang w:eastAsia="zh-CN" w:bidi="ar-SA"/>
        </w:rPr>
      </w:pPr>
    </w:p>
    <w:tbl>
      <w:tblPr>
        <w:tblStyle w:val="8"/>
        <w:tblW w:w="8975" w:type="dxa"/>
        <w:tblInd w:w="108" w:type="dxa"/>
        <w:tblLayout w:type="fixed"/>
        <w:tblCellMar>
          <w:top w:w="0" w:type="dxa"/>
          <w:left w:w="108" w:type="dxa"/>
          <w:bottom w:w="0" w:type="dxa"/>
          <w:right w:w="108" w:type="dxa"/>
        </w:tblCellMar>
      </w:tblPr>
      <w:tblGrid>
        <w:gridCol w:w="759"/>
        <w:gridCol w:w="2669"/>
        <w:gridCol w:w="4120"/>
        <w:gridCol w:w="1427"/>
      </w:tblGrid>
      <w:tr>
        <w:tblPrEx>
          <w:tblLayout w:type="fixed"/>
          <w:tblCellMar>
            <w:top w:w="0" w:type="dxa"/>
            <w:left w:w="108" w:type="dxa"/>
            <w:bottom w:w="0" w:type="dxa"/>
            <w:right w:w="108" w:type="dxa"/>
          </w:tblCellMar>
        </w:tblPrEx>
        <w:trPr>
          <w:trHeight w:val="501" w:hRule="atLeast"/>
        </w:trPr>
        <w:tc>
          <w:tcPr>
            <w:tcW w:w="8975" w:type="dxa"/>
            <w:gridSpan w:val="4"/>
            <w:tcBorders>
              <w:top w:val="nil"/>
              <w:left w:val="nil"/>
              <w:bottom w:val="nil"/>
              <w:right w:val="nil"/>
            </w:tcBorders>
            <w:vAlign w:val="center"/>
          </w:tcPr>
          <w:p>
            <w:pPr>
              <w:jc w:val="center"/>
              <w:textAlignment w:val="center"/>
              <w:rPr>
                <w:rFonts w:ascii="宋体" w:hAnsi="宋体" w:cs="宋体"/>
                <w:b/>
                <w:bCs/>
                <w:sz w:val="21"/>
                <w:szCs w:val="21"/>
                <w:lang w:eastAsia="zh-CN" w:bidi="ar-SA"/>
              </w:rPr>
            </w:pPr>
            <w:r>
              <w:rPr>
                <w:rFonts w:hint="eastAsia" w:ascii="宋体" w:hAnsi="宋体" w:cs="宋体"/>
                <w:b/>
                <w:color w:val="000000"/>
                <w:sz w:val="21"/>
                <w:szCs w:val="21"/>
                <w:lang w:eastAsia="zh-CN" w:bidi="ar"/>
              </w:rPr>
              <w:t>2019年省级环境保护专项项目明细表</w:t>
            </w:r>
          </w:p>
        </w:tc>
      </w:tr>
      <w:tr>
        <w:tblPrEx>
          <w:tblLayout w:type="fixed"/>
          <w:tblCellMar>
            <w:top w:w="0" w:type="dxa"/>
            <w:left w:w="108" w:type="dxa"/>
            <w:bottom w:w="0" w:type="dxa"/>
            <w:right w:w="108" w:type="dxa"/>
          </w:tblCellMar>
        </w:tblPrEx>
        <w:trPr>
          <w:trHeight w:val="520" w:hRule="atLeast"/>
        </w:trPr>
        <w:tc>
          <w:tcPr>
            <w:tcW w:w="759"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cs="宋体"/>
                <w:sz w:val="21"/>
                <w:szCs w:val="21"/>
                <w:lang w:eastAsia="zh-CN" w:bidi="ar-SA"/>
              </w:rPr>
            </w:pPr>
            <w:r>
              <w:rPr>
                <w:rFonts w:hint="eastAsia" w:ascii="宋体" w:hAnsi="宋体" w:cs="宋体"/>
                <w:color w:val="000000"/>
                <w:sz w:val="21"/>
                <w:szCs w:val="21"/>
                <w:lang w:eastAsia="zh-CN" w:bidi="ar"/>
              </w:rPr>
              <w:t>序号</w:t>
            </w:r>
          </w:p>
        </w:tc>
        <w:tc>
          <w:tcPr>
            <w:tcW w:w="2669"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cs="宋体"/>
                <w:sz w:val="21"/>
                <w:szCs w:val="21"/>
                <w:lang w:eastAsia="zh-CN" w:bidi="ar-SA"/>
              </w:rPr>
            </w:pPr>
            <w:r>
              <w:rPr>
                <w:rFonts w:hint="eastAsia" w:ascii="宋体" w:hAnsi="宋体" w:cs="宋体"/>
                <w:color w:val="000000"/>
                <w:sz w:val="21"/>
                <w:szCs w:val="21"/>
                <w:lang w:eastAsia="zh-CN" w:bidi="ar"/>
              </w:rPr>
              <w:t>自评价单位</w:t>
            </w:r>
          </w:p>
        </w:tc>
        <w:tc>
          <w:tcPr>
            <w:tcW w:w="4120"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cs="宋体"/>
                <w:sz w:val="21"/>
                <w:szCs w:val="21"/>
                <w:lang w:eastAsia="zh-CN" w:bidi="ar-SA"/>
              </w:rPr>
            </w:pPr>
            <w:r>
              <w:rPr>
                <w:rFonts w:hint="eastAsia" w:ascii="宋体" w:hAnsi="宋体" w:cs="宋体"/>
                <w:color w:val="000000"/>
                <w:sz w:val="21"/>
                <w:szCs w:val="21"/>
                <w:lang w:eastAsia="zh-CN" w:bidi="ar"/>
              </w:rPr>
              <w:t>项目名称</w:t>
            </w:r>
          </w:p>
        </w:tc>
        <w:tc>
          <w:tcPr>
            <w:tcW w:w="1427"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cs="宋体"/>
                <w:sz w:val="21"/>
                <w:szCs w:val="21"/>
                <w:lang w:eastAsia="zh-CN" w:bidi="ar-SA"/>
              </w:rPr>
            </w:pPr>
            <w:r>
              <w:rPr>
                <w:rFonts w:hint="eastAsia" w:ascii="宋体" w:hAnsi="宋体" w:cs="宋体"/>
                <w:color w:val="000000"/>
                <w:sz w:val="21"/>
                <w:szCs w:val="21"/>
                <w:lang w:eastAsia="zh-CN" w:bidi="ar"/>
              </w:rPr>
              <w:t>金额（万元）</w:t>
            </w:r>
          </w:p>
        </w:tc>
      </w:tr>
      <w:tr>
        <w:tblPrEx>
          <w:tblLayout w:type="fixed"/>
          <w:tblCellMar>
            <w:top w:w="0" w:type="dxa"/>
            <w:left w:w="108" w:type="dxa"/>
            <w:bottom w:w="0" w:type="dxa"/>
            <w:right w:w="108" w:type="dxa"/>
          </w:tblCellMar>
        </w:tblPrEx>
        <w:trPr>
          <w:trHeight w:val="420" w:hRule="atLeast"/>
        </w:trPr>
        <w:tc>
          <w:tcPr>
            <w:tcW w:w="7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hint="eastAsia" w:ascii="宋体" w:hAnsi="宋体" w:cs="宋体"/>
                <w:sz w:val="21"/>
                <w:szCs w:val="21"/>
                <w:lang w:eastAsia="zh-CN" w:bidi="ar-SA"/>
              </w:rPr>
            </w:pPr>
            <w:r>
              <w:rPr>
                <w:rFonts w:hint="eastAsia" w:ascii="宋体" w:hAnsi="宋体" w:cs="宋体"/>
                <w:color w:val="000000"/>
                <w:sz w:val="21"/>
                <w:szCs w:val="21"/>
                <w:lang w:eastAsia="zh-CN" w:bidi="ar"/>
              </w:rPr>
              <w:t>1</w:t>
            </w:r>
          </w:p>
        </w:tc>
        <w:tc>
          <w:tcPr>
            <w:tcW w:w="2669" w:type="dxa"/>
            <w:vMerge w:val="restart"/>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hint="eastAsia" w:ascii="宋体" w:hAnsi="宋体" w:cs="宋体"/>
                <w:sz w:val="21"/>
                <w:szCs w:val="21"/>
                <w:lang w:eastAsia="zh-CN" w:bidi="ar-SA"/>
              </w:rPr>
            </w:pPr>
            <w:r>
              <w:rPr>
                <w:rFonts w:hint="eastAsia" w:ascii="宋体" w:hAnsi="宋体" w:cs="宋体"/>
                <w:color w:val="000000"/>
                <w:sz w:val="21"/>
                <w:szCs w:val="21"/>
                <w:lang w:eastAsia="zh-CN" w:bidi="ar"/>
              </w:rPr>
              <w:t>湖南省生态环境厅系统财务</w:t>
            </w:r>
          </w:p>
        </w:tc>
        <w:tc>
          <w:tcPr>
            <w:tcW w:w="4120"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宋体" w:hAnsi="宋体" w:cs="宋体"/>
                <w:sz w:val="21"/>
                <w:szCs w:val="21"/>
                <w:lang w:eastAsia="zh-CN" w:bidi="ar-SA"/>
              </w:rPr>
            </w:pPr>
            <w:r>
              <w:rPr>
                <w:rFonts w:hint="eastAsia" w:ascii="宋体" w:hAnsi="宋体" w:cs="宋体"/>
                <w:color w:val="000000"/>
                <w:sz w:val="21"/>
                <w:szCs w:val="21"/>
                <w:lang w:eastAsia="zh-CN" w:bidi="ar"/>
              </w:rPr>
              <w:t>环保科技发展项目</w:t>
            </w:r>
          </w:p>
        </w:tc>
        <w:tc>
          <w:tcPr>
            <w:tcW w:w="1427" w:type="dxa"/>
            <w:tcBorders>
              <w:top w:val="nil"/>
              <w:left w:val="nil"/>
              <w:bottom w:val="single" w:color="auto" w:sz="4" w:space="0"/>
              <w:right w:val="single" w:color="auto" w:sz="4" w:space="0"/>
            </w:tcBorders>
            <w:shd w:val="clear" w:color="000000" w:fill="FFFFFF"/>
            <w:vAlign w:val="center"/>
          </w:tcPr>
          <w:p>
            <w:pPr>
              <w:jc w:val="center"/>
              <w:textAlignment w:val="center"/>
              <w:rPr>
                <w:rFonts w:hint="eastAsia" w:ascii="宋体" w:hAnsi="宋体" w:cs="宋体"/>
                <w:sz w:val="21"/>
                <w:szCs w:val="21"/>
                <w:lang w:eastAsia="zh-CN" w:bidi="ar-SA"/>
              </w:rPr>
            </w:pPr>
            <w:r>
              <w:rPr>
                <w:rFonts w:hint="eastAsia" w:ascii="宋体" w:hAnsi="宋体" w:cs="宋体"/>
                <w:color w:val="000000"/>
                <w:sz w:val="21"/>
                <w:szCs w:val="21"/>
                <w:lang w:eastAsia="zh-CN" w:bidi="ar"/>
              </w:rPr>
              <w:t>300</w:t>
            </w:r>
          </w:p>
        </w:tc>
      </w:tr>
      <w:tr>
        <w:tblPrEx>
          <w:tblLayout w:type="fixed"/>
        </w:tblPrEx>
        <w:trPr>
          <w:trHeight w:val="420" w:hRule="atLeast"/>
        </w:trPr>
        <w:tc>
          <w:tcPr>
            <w:tcW w:w="7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hint="eastAsia" w:ascii="宋体" w:hAnsi="宋体" w:cs="宋体"/>
                <w:sz w:val="21"/>
                <w:szCs w:val="21"/>
                <w:lang w:eastAsia="zh-CN" w:bidi="ar-SA"/>
              </w:rPr>
            </w:pPr>
            <w:r>
              <w:rPr>
                <w:rFonts w:hint="eastAsia" w:ascii="宋体" w:hAnsi="宋体" w:cs="宋体"/>
                <w:color w:val="000000"/>
                <w:sz w:val="21"/>
                <w:szCs w:val="21"/>
                <w:lang w:eastAsia="zh-CN" w:bidi="ar"/>
              </w:rPr>
              <w:t>2</w:t>
            </w:r>
          </w:p>
        </w:tc>
        <w:tc>
          <w:tcPr>
            <w:tcW w:w="2669"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lang w:eastAsia="zh-CN" w:bidi="ar-SA"/>
              </w:rPr>
            </w:pPr>
          </w:p>
        </w:tc>
        <w:tc>
          <w:tcPr>
            <w:tcW w:w="4120"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宋体" w:hAnsi="宋体" w:cs="宋体"/>
                <w:sz w:val="21"/>
                <w:szCs w:val="21"/>
                <w:lang w:eastAsia="zh-CN" w:bidi="ar-SA"/>
              </w:rPr>
            </w:pPr>
            <w:r>
              <w:rPr>
                <w:rFonts w:hint="eastAsia" w:ascii="宋体" w:hAnsi="宋体" w:cs="宋体"/>
                <w:color w:val="000000"/>
                <w:sz w:val="21"/>
                <w:szCs w:val="21"/>
                <w:lang w:eastAsia="zh-CN" w:bidi="ar"/>
              </w:rPr>
              <w:t>环保企业“走出去”奖励经费</w:t>
            </w:r>
          </w:p>
        </w:tc>
        <w:tc>
          <w:tcPr>
            <w:tcW w:w="1427" w:type="dxa"/>
            <w:tcBorders>
              <w:top w:val="nil"/>
              <w:left w:val="nil"/>
              <w:bottom w:val="single" w:color="auto" w:sz="4" w:space="0"/>
              <w:right w:val="single" w:color="auto" w:sz="4" w:space="0"/>
            </w:tcBorders>
            <w:shd w:val="clear" w:color="000000" w:fill="FFFFFF"/>
            <w:vAlign w:val="center"/>
          </w:tcPr>
          <w:p>
            <w:pPr>
              <w:jc w:val="center"/>
              <w:textAlignment w:val="center"/>
              <w:rPr>
                <w:rFonts w:hint="eastAsia" w:ascii="宋体" w:hAnsi="宋体" w:cs="宋体"/>
                <w:sz w:val="21"/>
                <w:szCs w:val="21"/>
                <w:lang w:eastAsia="zh-CN" w:bidi="ar-SA"/>
              </w:rPr>
            </w:pPr>
            <w:r>
              <w:rPr>
                <w:rFonts w:hint="eastAsia" w:ascii="宋体" w:hAnsi="宋体" w:cs="宋体"/>
                <w:color w:val="000000"/>
                <w:sz w:val="21"/>
                <w:szCs w:val="21"/>
                <w:lang w:eastAsia="zh-CN" w:bidi="ar"/>
              </w:rPr>
              <w:t>200</w:t>
            </w:r>
          </w:p>
        </w:tc>
      </w:tr>
      <w:tr>
        <w:tblPrEx>
          <w:tblLayout w:type="fixed"/>
        </w:tblPrEx>
        <w:trPr>
          <w:trHeight w:val="420" w:hRule="atLeast"/>
        </w:trPr>
        <w:tc>
          <w:tcPr>
            <w:tcW w:w="7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hint="eastAsia" w:ascii="宋体" w:hAnsi="宋体" w:cs="宋体"/>
                <w:sz w:val="21"/>
                <w:szCs w:val="21"/>
                <w:lang w:eastAsia="zh-CN" w:bidi="ar-SA"/>
              </w:rPr>
            </w:pPr>
            <w:r>
              <w:rPr>
                <w:rFonts w:hint="eastAsia" w:ascii="宋体" w:hAnsi="宋体" w:cs="宋体"/>
                <w:color w:val="000000"/>
                <w:sz w:val="21"/>
                <w:szCs w:val="21"/>
                <w:lang w:eastAsia="zh-CN" w:bidi="ar"/>
              </w:rPr>
              <w:t>3</w:t>
            </w:r>
          </w:p>
        </w:tc>
        <w:tc>
          <w:tcPr>
            <w:tcW w:w="2669" w:type="dxa"/>
            <w:vMerge w:val="continue"/>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sz w:val="21"/>
                <w:szCs w:val="21"/>
                <w:lang w:eastAsia="zh-CN" w:bidi="ar-SA"/>
              </w:rPr>
            </w:pPr>
          </w:p>
        </w:tc>
        <w:tc>
          <w:tcPr>
            <w:tcW w:w="4120"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宋体" w:hAnsi="宋体" w:cs="宋体"/>
                <w:sz w:val="21"/>
                <w:szCs w:val="21"/>
                <w:lang w:eastAsia="zh-CN" w:bidi="ar-SA"/>
              </w:rPr>
            </w:pPr>
            <w:r>
              <w:rPr>
                <w:rFonts w:hint="eastAsia" w:ascii="宋体" w:hAnsi="宋体" w:cs="宋体"/>
                <w:color w:val="000000"/>
                <w:sz w:val="21"/>
                <w:szCs w:val="21"/>
                <w:lang w:eastAsia="zh-CN" w:bidi="ar"/>
              </w:rPr>
              <w:t>土壤污染快速检测仪</w:t>
            </w:r>
          </w:p>
        </w:tc>
        <w:tc>
          <w:tcPr>
            <w:tcW w:w="1427" w:type="dxa"/>
            <w:tcBorders>
              <w:top w:val="nil"/>
              <w:left w:val="nil"/>
              <w:bottom w:val="single" w:color="auto" w:sz="4" w:space="0"/>
              <w:right w:val="single" w:color="auto" w:sz="4" w:space="0"/>
            </w:tcBorders>
            <w:shd w:val="clear" w:color="000000" w:fill="FFFFFF"/>
            <w:vAlign w:val="center"/>
          </w:tcPr>
          <w:p>
            <w:pPr>
              <w:jc w:val="center"/>
              <w:textAlignment w:val="center"/>
              <w:rPr>
                <w:rFonts w:hint="eastAsia" w:ascii="宋体" w:hAnsi="宋体" w:cs="宋体"/>
                <w:sz w:val="21"/>
                <w:szCs w:val="21"/>
                <w:lang w:eastAsia="zh-CN" w:bidi="ar-SA"/>
              </w:rPr>
            </w:pPr>
            <w:r>
              <w:rPr>
                <w:rFonts w:hint="eastAsia" w:ascii="宋体" w:hAnsi="宋体" w:cs="宋体"/>
                <w:color w:val="000000"/>
                <w:sz w:val="21"/>
                <w:szCs w:val="21"/>
                <w:lang w:eastAsia="zh-CN" w:bidi="ar"/>
              </w:rPr>
              <w:t>1190</w:t>
            </w:r>
          </w:p>
        </w:tc>
      </w:tr>
      <w:tr>
        <w:tblPrEx>
          <w:tblLayout w:type="fixed"/>
        </w:tblPrEx>
        <w:trPr>
          <w:trHeight w:val="420" w:hRule="atLeast"/>
        </w:trPr>
        <w:tc>
          <w:tcPr>
            <w:tcW w:w="7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hint="eastAsia" w:ascii="宋体" w:hAnsi="宋体" w:cs="宋体"/>
                <w:sz w:val="21"/>
                <w:szCs w:val="21"/>
                <w:lang w:eastAsia="zh-CN" w:bidi="ar-SA"/>
              </w:rPr>
            </w:pPr>
            <w:r>
              <w:rPr>
                <w:rFonts w:hint="eastAsia" w:ascii="宋体" w:hAnsi="宋体" w:cs="宋体"/>
                <w:color w:val="000000"/>
                <w:sz w:val="21"/>
                <w:szCs w:val="21"/>
                <w:lang w:eastAsia="zh-CN" w:bidi="ar"/>
              </w:rPr>
              <w:t>4</w:t>
            </w:r>
          </w:p>
        </w:tc>
        <w:tc>
          <w:tcPr>
            <w:tcW w:w="2669"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sz w:val="21"/>
                <w:szCs w:val="21"/>
                <w:lang w:eastAsia="zh-CN" w:bidi="ar-SA"/>
              </w:rPr>
            </w:pPr>
          </w:p>
        </w:tc>
        <w:tc>
          <w:tcPr>
            <w:tcW w:w="4120"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宋体" w:hAnsi="宋体" w:cs="宋体"/>
                <w:sz w:val="21"/>
                <w:szCs w:val="21"/>
                <w:lang w:eastAsia="zh-CN" w:bidi="ar-SA"/>
              </w:rPr>
            </w:pPr>
            <w:r>
              <w:rPr>
                <w:rFonts w:hint="eastAsia" w:ascii="宋体" w:hAnsi="宋体" w:cs="宋体"/>
                <w:color w:val="000000"/>
                <w:sz w:val="21"/>
                <w:szCs w:val="21"/>
                <w:lang w:eastAsia="zh-CN" w:bidi="ar"/>
              </w:rPr>
              <w:t>亚太低碳高峰论坛</w:t>
            </w:r>
          </w:p>
        </w:tc>
        <w:tc>
          <w:tcPr>
            <w:tcW w:w="1427" w:type="dxa"/>
            <w:tcBorders>
              <w:top w:val="nil"/>
              <w:left w:val="nil"/>
              <w:bottom w:val="single" w:color="auto" w:sz="4" w:space="0"/>
              <w:right w:val="single" w:color="auto" w:sz="4" w:space="0"/>
            </w:tcBorders>
            <w:shd w:val="clear" w:color="000000" w:fill="FFFFFF"/>
            <w:vAlign w:val="center"/>
          </w:tcPr>
          <w:p>
            <w:pPr>
              <w:jc w:val="center"/>
              <w:textAlignment w:val="center"/>
              <w:rPr>
                <w:rFonts w:hint="eastAsia" w:ascii="宋体" w:hAnsi="宋体" w:cs="宋体"/>
                <w:sz w:val="21"/>
                <w:szCs w:val="21"/>
                <w:lang w:eastAsia="zh-CN" w:bidi="ar-SA"/>
              </w:rPr>
            </w:pPr>
            <w:r>
              <w:rPr>
                <w:rFonts w:hint="eastAsia" w:ascii="宋体" w:hAnsi="宋体" w:cs="宋体"/>
                <w:color w:val="000000"/>
                <w:sz w:val="21"/>
                <w:szCs w:val="21"/>
                <w:lang w:eastAsia="zh-CN" w:bidi="ar"/>
              </w:rPr>
              <w:t>285</w:t>
            </w:r>
          </w:p>
        </w:tc>
      </w:tr>
      <w:tr>
        <w:tblPrEx>
          <w:tblLayout w:type="fixed"/>
        </w:tblPrEx>
        <w:trPr>
          <w:trHeight w:val="420" w:hRule="atLeast"/>
        </w:trPr>
        <w:tc>
          <w:tcPr>
            <w:tcW w:w="7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hint="eastAsia" w:ascii="宋体" w:hAnsi="宋体" w:cs="宋体"/>
                <w:sz w:val="21"/>
                <w:szCs w:val="21"/>
                <w:lang w:eastAsia="zh-CN" w:bidi="ar-SA"/>
              </w:rPr>
            </w:pPr>
            <w:r>
              <w:rPr>
                <w:rFonts w:hint="eastAsia" w:ascii="宋体" w:hAnsi="宋体" w:cs="宋体"/>
                <w:color w:val="000000"/>
                <w:sz w:val="21"/>
                <w:szCs w:val="21"/>
                <w:lang w:eastAsia="zh-CN" w:bidi="ar"/>
              </w:rPr>
              <w:t>5</w:t>
            </w:r>
          </w:p>
        </w:tc>
        <w:tc>
          <w:tcPr>
            <w:tcW w:w="2669"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lang w:eastAsia="zh-CN" w:bidi="ar-SA"/>
              </w:rPr>
            </w:pPr>
          </w:p>
        </w:tc>
        <w:tc>
          <w:tcPr>
            <w:tcW w:w="4120"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宋体" w:hAnsi="宋体" w:cs="宋体"/>
                <w:sz w:val="21"/>
                <w:szCs w:val="21"/>
                <w:lang w:eastAsia="zh-CN" w:bidi="ar-SA"/>
              </w:rPr>
            </w:pPr>
            <w:r>
              <w:rPr>
                <w:rFonts w:hint="eastAsia" w:ascii="宋体" w:hAnsi="宋体" w:cs="宋体"/>
                <w:color w:val="000000"/>
                <w:sz w:val="21"/>
                <w:szCs w:val="21"/>
                <w:lang w:eastAsia="zh-CN" w:bidi="ar"/>
              </w:rPr>
              <w:t>重点行业企业用地调查</w:t>
            </w:r>
          </w:p>
        </w:tc>
        <w:tc>
          <w:tcPr>
            <w:tcW w:w="1427" w:type="dxa"/>
            <w:tcBorders>
              <w:top w:val="nil"/>
              <w:left w:val="nil"/>
              <w:bottom w:val="single" w:color="auto" w:sz="4" w:space="0"/>
              <w:right w:val="single" w:color="auto" w:sz="4" w:space="0"/>
            </w:tcBorders>
            <w:shd w:val="clear" w:color="000000" w:fill="FFFFFF"/>
            <w:vAlign w:val="center"/>
          </w:tcPr>
          <w:p>
            <w:pPr>
              <w:jc w:val="center"/>
              <w:textAlignment w:val="center"/>
              <w:rPr>
                <w:rFonts w:hint="eastAsia" w:ascii="宋体" w:hAnsi="宋体" w:cs="宋体"/>
                <w:sz w:val="21"/>
                <w:szCs w:val="21"/>
                <w:lang w:eastAsia="zh-CN" w:bidi="ar-SA"/>
              </w:rPr>
            </w:pPr>
            <w:r>
              <w:rPr>
                <w:rFonts w:hint="eastAsia" w:ascii="宋体" w:hAnsi="宋体" w:cs="宋体"/>
                <w:color w:val="000000"/>
                <w:sz w:val="21"/>
                <w:szCs w:val="21"/>
                <w:lang w:eastAsia="zh-CN" w:bidi="ar"/>
              </w:rPr>
              <w:t>4500</w:t>
            </w:r>
          </w:p>
        </w:tc>
      </w:tr>
      <w:tr>
        <w:tblPrEx>
          <w:tblLayout w:type="fixed"/>
        </w:tblPrEx>
        <w:trPr>
          <w:trHeight w:val="420" w:hRule="atLeast"/>
        </w:trPr>
        <w:tc>
          <w:tcPr>
            <w:tcW w:w="7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hint="eastAsia" w:ascii="宋体" w:hAnsi="宋体" w:cs="宋体"/>
                <w:sz w:val="21"/>
                <w:szCs w:val="21"/>
                <w:lang w:eastAsia="zh-CN" w:bidi="ar-SA"/>
              </w:rPr>
            </w:pPr>
            <w:r>
              <w:rPr>
                <w:rFonts w:hint="eastAsia" w:ascii="宋体" w:hAnsi="宋体" w:cs="宋体"/>
                <w:color w:val="000000"/>
                <w:sz w:val="21"/>
                <w:szCs w:val="21"/>
                <w:lang w:eastAsia="zh-CN" w:bidi="ar"/>
              </w:rPr>
              <w:t>6</w:t>
            </w:r>
          </w:p>
        </w:tc>
        <w:tc>
          <w:tcPr>
            <w:tcW w:w="266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宋体" w:hAnsi="宋体" w:cs="宋体"/>
                <w:sz w:val="21"/>
                <w:szCs w:val="21"/>
                <w:lang w:eastAsia="zh-CN" w:bidi="ar-SA"/>
              </w:rPr>
            </w:pPr>
            <w:r>
              <w:rPr>
                <w:rFonts w:hint="eastAsia" w:ascii="宋体" w:hAnsi="宋体" w:cs="宋体"/>
                <w:color w:val="000000"/>
                <w:sz w:val="21"/>
                <w:szCs w:val="21"/>
                <w:lang w:eastAsia="zh-CN" w:bidi="ar"/>
              </w:rPr>
              <w:t>省环科院</w:t>
            </w:r>
          </w:p>
        </w:tc>
        <w:tc>
          <w:tcPr>
            <w:tcW w:w="4120"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宋体" w:hAnsi="宋体" w:cs="宋体"/>
                <w:sz w:val="21"/>
                <w:szCs w:val="21"/>
                <w:lang w:eastAsia="zh-CN" w:bidi="ar-SA"/>
              </w:rPr>
            </w:pPr>
            <w:r>
              <w:rPr>
                <w:rFonts w:hint="eastAsia" w:ascii="宋体" w:hAnsi="宋体" w:cs="宋体"/>
                <w:color w:val="000000"/>
                <w:sz w:val="21"/>
                <w:szCs w:val="21"/>
                <w:lang w:eastAsia="zh-CN" w:bidi="ar"/>
              </w:rPr>
              <w:t>湖南省主要水系地表水（环境）功能区划编修</w:t>
            </w:r>
          </w:p>
        </w:tc>
        <w:tc>
          <w:tcPr>
            <w:tcW w:w="1427" w:type="dxa"/>
            <w:tcBorders>
              <w:top w:val="nil"/>
              <w:left w:val="nil"/>
              <w:bottom w:val="single" w:color="auto" w:sz="4" w:space="0"/>
              <w:right w:val="single" w:color="auto" w:sz="4" w:space="0"/>
            </w:tcBorders>
            <w:shd w:val="clear" w:color="000000" w:fill="FFFFFF"/>
            <w:vAlign w:val="center"/>
          </w:tcPr>
          <w:p>
            <w:pPr>
              <w:jc w:val="center"/>
              <w:textAlignment w:val="center"/>
              <w:rPr>
                <w:rFonts w:hint="eastAsia" w:ascii="宋体" w:hAnsi="宋体" w:cs="宋体"/>
                <w:sz w:val="21"/>
                <w:szCs w:val="21"/>
                <w:lang w:eastAsia="zh-CN" w:bidi="ar-SA"/>
              </w:rPr>
            </w:pPr>
            <w:r>
              <w:rPr>
                <w:rFonts w:hint="eastAsia" w:ascii="宋体" w:hAnsi="宋体" w:cs="宋体"/>
                <w:color w:val="000000"/>
                <w:sz w:val="21"/>
                <w:szCs w:val="21"/>
                <w:lang w:eastAsia="zh-CN" w:bidi="ar"/>
              </w:rPr>
              <w:t>30</w:t>
            </w:r>
          </w:p>
        </w:tc>
      </w:tr>
      <w:tr>
        <w:tblPrEx>
          <w:tblLayout w:type="fixed"/>
        </w:tblPrEx>
        <w:trPr>
          <w:trHeight w:val="420" w:hRule="atLeast"/>
        </w:trPr>
        <w:tc>
          <w:tcPr>
            <w:tcW w:w="7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hint="eastAsia" w:ascii="宋体" w:hAnsi="宋体" w:cs="宋体"/>
                <w:sz w:val="21"/>
                <w:szCs w:val="21"/>
                <w:lang w:eastAsia="zh-CN" w:bidi="ar-SA"/>
              </w:rPr>
            </w:pPr>
            <w:r>
              <w:rPr>
                <w:rFonts w:hint="eastAsia" w:ascii="宋体" w:hAnsi="宋体" w:cs="宋体"/>
                <w:color w:val="000000"/>
                <w:sz w:val="21"/>
                <w:szCs w:val="21"/>
                <w:lang w:eastAsia="zh-CN" w:bidi="ar"/>
              </w:rPr>
              <w:t>7</w:t>
            </w:r>
          </w:p>
        </w:tc>
        <w:tc>
          <w:tcPr>
            <w:tcW w:w="266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宋体" w:hAnsi="宋体" w:cs="宋体"/>
                <w:sz w:val="21"/>
                <w:szCs w:val="21"/>
                <w:lang w:eastAsia="zh-CN" w:bidi="ar-SA"/>
              </w:rPr>
            </w:pPr>
            <w:r>
              <w:rPr>
                <w:rFonts w:hint="eastAsia" w:ascii="宋体" w:hAnsi="宋体" w:cs="宋体"/>
                <w:color w:val="000000"/>
                <w:sz w:val="21"/>
                <w:szCs w:val="21"/>
                <w:lang w:eastAsia="zh-CN" w:bidi="ar"/>
              </w:rPr>
              <w:t>省生态环监测中心</w:t>
            </w:r>
          </w:p>
        </w:tc>
        <w:tc>
          <w:tcPr>
            <w:tcW w:w="4120"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宋体" w:hAnsi="宋体" w:cs="宋体"/>
                <w:sz w:val="21"/>
                <w:szCs w:val="21"/>
                <w:lang w:eastAsia="zh-CN" w:bidi="ar-SA"/>
              </w:rPr>
            </w:pPr>
            <w:r>
              <w:rPr>
                <w:rFonts w:hint="eastAsia" w:ascii="宋体" w:hAnsi="宋体" w:cs="宋体"/>
                <w:color w:val="000000"/>
                <w:sz w:val="21"/>
                <w:szCs w:val="21"/>
                <w:lang w:eastAsia="zh-CN" w:bidi="ar"/>
              </w:rPr>
              <w:t>政府购买服务-国控重点污染源自动监控第三方运营</w:t>
            </w:r>
          </w:p>
        </w:tc>
        <w:tc>
          <w:tcPr>
            <w:tcW w:w="1427" w:type="dxa"/>
            <w:tcBorders>
              <w:top w:val="nil"/>
              <w:left w:val="nil"/>
              <w:bottom w:val="single" w:color="auto" w:sz="4" w:space="0"/>
              <w:right w:val="single" w:color="auto" w:sz="4" w:space="0"/>
            </w:tcBorders>
            <w:shd w:val="clear" w:color="000000" w:fill="FFFFFF"/>
            <w:vAlign w:val="center"/>
          </w:tcPr>
          <w:p>
            <w:pPr>
              <w:jc w:val="center"/>
              <w:textAlignment w:val="center"/>
              <w:rPr>
                <w:rFonts w:hint="eastAsia" w:ascii="宋体" w:hAnsi="宋体" w:cs="宋体"/>
                <w:sz w:val="21"/>
                <w:szCs w:val="21"/>
                <w:lang w:eastAsia="zh-CN" w:bidi="ar-SA"/>
              </w:rPr>
            </w:pPr>
            <w:r>
              <w:rPr>
                <w:rFonts w:hint="eastAsia" w:ascii="宋体" w:hAnsi="宋体" w:cs="宋体"/>
                <w:color w:val="000000"/>
                <w:sz w:val="21"/>
                <w:szCs w:val="21"/>
                <w:lang w:eastAsia="zh-CN" w:bidi="ar"/>
              </w:rPr>
              <w:t>1870.07</w:t>
            </w:r>
          </w:p>
        </w:tc>
      </w:tr>
      <w:tr>
        <w:tblPrEx>
          <w:tblLayout w:type="fixed"/>
        </w:tblPrEx>
        <w:trPr>
          <w:trHeight w:val="420" w:hRule="atLeast"/>
        </w:trPr>
        <w:tc>
          <w:tcPr>
            <w:tcW w:w="7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hint="eastAsia" w:ascii="宋体" w:hAnsi="宋体" w:cs="宋体"/>
                <w:sz w:val="21"/>
                <w:szCs w:val="21"/>
                <w:lang w:eastAsia="zh-CN" w:bidi="ar-SA"/>
              </w:rPr>
            </w:pPr>
            <w:r>
              <w:rPr>
                <w:rFonts w:hint="eastAsia" w:ascii="宋体" w:hAnsi="宋体" w:cs="宋体"/>
                <w:color w:val="000000"/>
                <w:sz w:val="21"/>
                <w:szCs w:val="21"/>
                <w:lang w:eastAsia="zh-CN" w:bidi="ar"/>
              </w:rPr>
              <w:t>8</w:t>
            </w:r>
          </w:p>
        </w:tc>
        <w:tc>
          <w:tcPr>
            <w:tcW w:w="2669" w:type="dxa"/>
            <w:vMerge w:val="restart"/>
            <w:tcBorders>
              <w:top w:val="nil"/>
              <w:left w:val="nil"/>
              <w:bottom w:val="single" w:color="auto" w:sz="4" w:space="0"/>
              <w:right w:val="single" w:color="auto" w:sz="4" w:space="0"/>
            </w:tcBorders>
            <w:shd w:val="clear" w:color="auto" w:fill="auto"/>
            <w:vAlign w:val="center"/>
          </w:tcPr>
          <w:p>
            <w:pPr>
              <w:jc w:val="center"/>
              <w:textAlignment w:val="center"/>
              <w:rPr>
                <w:rFonts w:hint="eastAsia" w:ascii="宋体" w:hAnsi="宋体" w:cs="宋体"/>
                <w:sz w:val="21"/>
                <w:szCs w:val="21"/>
                <w:lang w:eastAsia="zh-CN" w:bidi="ar-SA"/>
              </w:rPr>
            </w:pPr>
            <w:r>
              <w:rPr>
                <w:rFonts w:hint="eastAsia" w:ascii="宋体" w:hAnsi="宋体" w:cs="宋体"/>
                <w:color w:val="000000"/>
                <w:sz w:val="21"/>
                <w:szCs w:val="21"/>
                <w:lang w:eastAsia="zh-CN" w:bidi="ar"/>
              </w:rPr>
              <w:t>省生态环境事务中心</w:t>
            </w:r>
          </w:p>
        </w:tc>
        <w:tc>
          <w:tcPr>
            <w:tcW w:w="4120"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宋体" w:hAnsi="宋体" w:cs="宋体"/>
                <w:sz w:val="21"/>
                <w:szCs w:val="21"/>
                <w:lang w:eastAsia="zh-CN" w:bidi="ar-SA"/>
              </w:rPr>
            </w:pPr>
            <w:r>
              <w:rPr>
                <w:rFonts w:hint="eastAsia" w:ascii="宋体" w:hAnsi="宋体" w:cs="宋体"/>
                <w:color w:val="000000"/>
                <w:sz w:val="21"/>
                <w:szCs w:val="21"/>
                <w:lang w:eastAsia="zh-CN" w:bidi="ar"/>
              </w:rPr>
              <w:t>排污权指标收购回购及环境污染治理</w:t>
            </w:r>
          </w:p>
        </w:tc>
        <w:tc>
          <w:tcPr>
            <w:tcW w:w="1427" w:type="dxa"/>
            <w:tcBorders>
              <w:top w:val="nil"/>
              <w:left w:val="nil"/>
              <w:bottom w:val="single" w:color="auto" w:sz="4" w:space="0"/>
              <w:right w:val="single" w:color="auto" w:sz="4" w:space="0"/>
            </w:tcBorders>
            <w:shd w:val="clear" w:color="000000" w:fill="FFFFFF"/>
            <w:vAlign w:val="center"/>
          </w:tcPr>
          <w:p>
            <w:pPr>
              <w:jc w:val="center"/>
              <w:textAlignment w:val="center"/>
              <w:rPr>
                <w:rFonts w:hint="eastAsia" w:ascii="宋体" w:hAnsi="宋体" w:cs="宋体"/>
                <w:sz w:val="21"/>
                <w:szCs w:val="21"/>
                <w:lang w:eastAsia="zh-CN" w:bidi="ar-SA"/>
              </w:rPr>
            </w:pPr>
            <w:r>
              <w:rPr>
                <w:rFonts w:hint="eastAsia" w:ascii="宋体" w:hAnsi="宋体" w:cs="宋体"/>
                <w:color w:val="000000"/>
                <w:sz w:val="21"/>
                <w:szCs w:val="21"/>
                <w:lang w:eastAsia="zh-CN" w:bidi="ar"/>
              </w:rPr>
              <w:t>3695.8</w:t>
            </w:r>
          </w:p>
        </w:tc>
      </w:tr>
      <w:tr>
        <w:tblPrEx>
          <w:tblLayout w:type="fixed"/>
        </w:tblPrEx>
        <w:trPr>
          <w:trHeight w:val="420" w:hRule="atLeast"/>
        </w:trPr>
        <w:tc>
          <w:tcPr>
            <w:tcW w:w="7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hint="eastAsia" w:ascii="宋体" w:hAnsi="宋体" w:cs="宋体"/>
                <w:sz w:val="21"/>
                <w:szCs w:val="21"/>
                <w:lang w:eastAsia="zh-CN" w:bidi="ar-SA"/>
              </w:rPr>
            </w:pPr>
            <w:r>
              <w:rPr>
                <w:rFonts w:hint="eastAsia" w:ascii="宋体" w:hAnsi="宋体" w:cs="宋体"/>
                <w:color w:val="000000"/>
                <w:sz w:val="21"/>
                <w:szCs w:val="21"/>
                <w:lang w:eastAsia="zh-CN" w:bidi="ar"/>
              </w:rPr>
              <w:t>9</w:t>
            </w:r>
          </w:p>
        </w:tc>
        <w:tc>
          <w:tcPr>
            <w:tcW w:w="2669"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sz w:val="21"/>
                <w:szCs w:val="21"/>
                <w:lang w:eastAsia="zh-CN" w:bidi="ar-SA"/>
              </w:rPr>
            </w:pPr>
          </w:p>
        </w:tc>
        <w:tc>
          <w:tcPr>
            <w:tcW w:w="4120"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宋体" w:hAnsi="宋体" w:cs="宋体"/>
                <w:sz w:val="21"/>
                <w:szCs w:val="21"/>
                <w:lang w:eastAsia="zh-CN" w:bidi="ar-SA"/>
              </w:rPr>
            </w:pPr>
            <w:r>
              <w:rPr>
                <w:rFonts w:hint="eastAsia" w:ascii="宋体" w:hAnsi="宋体" w:cs="宋体"/>
                <w:color w:val="000000"/>
                <w:sz w:val="21"/>
                <w:szCs w:val="21"/>
                <w:lang w:eastAsia="zh-CN" w:bidi="ar"/>
              </w:rPr>
              <w:t>湖南省全民环境教育项目</w:t>
            </w:r>
          </w:p>
        </w:tc>
        <w:tc>
          <w:tcPr>
            <w:tcW w:w="1427" w:type="dxa"/>
            <w:tcBorders>
              <w:top w:val="nil"/>
              <w:left w:val="nil"/>
              <w:bottom w:val="single" w:color="auto" w:sz="4" w:space="0"/>
              <w:right w:val="single" w:color="auto" w:sz="4" w:space="0"/>
            </w:tcBorders>
            <w:shd w:val="clear" w:color="000000" w:fill="FFFFFF"/>
            <w:vAlign w:val="center"/>
          </w:tcPr>
          <w:p>
            <w:pPr>
              <w:jc w:val="center"/>
              <w:textAlignment w:val="center"/>
              <w:rPr>
                <w:rFonts w:hint="eastAsia" w:ascii="宋体" w:hAnsi="宋体" w:cs="宋体"/>
                <w:sz w:val="21"/>
                <w:szCs w:val="21"/>
                <w:lang w:eastAsia="zh-CN" w:bidi="ar-SA"/>
              </w:rPr>
            </w:pPr>
            <w:r>
              <w:rPr>
                <w:rFonts w:hint="eastAsia" w:ascii="宋体" w:hAnsi="宋体" w:cs="宋体"/>
                <w:color w:val="000000"/>
                <w:sz w:val="21"/>
                <w:szCs w:val="21"/>
                <w:lang w:eastAsia="zh-CN" w:bidi="ar"/>
              </w:rPr>
              <w:t>180</w:t>
            </w:r>
          </w:p>
        </w:tc>
      </w:tr>
      <w:tr>
        <w:tblPrEx>
          <w:tblLayout w:type="fixed"/>
        </w:tblPrEx>
        <w:trPr>
          <w:trHeight w:val="420" w:hRule="atLeast"/>
        </w:trPr>
        <w:tc>
          <w:tcPr>
            <w:tcW w:w="7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hint="eastAsia" w:ascii="宋体" w:hAnsi="宋体" w:cs="宋体"/>
                <w:sz w:val="21"/>
                <w:szCs w:val="21"/>
                <w:lang w:eastAsia="zh-CN" w:bidi="ar-SA"/>
              </w:rPr>
            </w:pPr>
            <w:r>
              <w:rPr>
                <w:rFonts w:hint="eastAsia" w:ascii="宋体" w:hAnsi="宋体" w:cs="宋体"/>
                <w:color w:val="000000"/>
                <w:sz w:val="21"/>
                <w:szCs w:val="21"/>
                <w:lang w:eastAsia="zh-CN" w:bidi="ar"/>
              </w:rPr>
              <w:t>10</w:t>
            </w:r>
          </w:p>
        </w:tc>
        <w:tc>
          <w:tcPr>
            <w:tcW w:w="2669"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lang w:eastAsia="zh-CN" w:bidi="ar-SA"/>
              </w:rPr>
            </w:pPr>
          </w:p>
        </w:tc>
        <w:tc>
          <w:tcPr>
            <w:tcW w:w="4120"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宋体" w:hAnsi="宋体" w:cs="宋体"/>
                <w:sz w:val="21"/>
                <w:szCs w:val="21"/>
                <w:lang w:eastAsia="zh-CN" w:bidi="ar-SA"/>
              </w:rPr>
            </w:pPr>
            <w:r>
              <w:rPr>
                <w:rFonts w:hint="eastAsia" w:ascii="宋体" w:hAnsi="宋体" w:cs="宋体"/>
                <w:color w:val="000000"/>
                <w:sz w:val="21"/>
                <w:szCs w:val="21"/>
                <w:lang w:eastAsia="zh-CN" w:bidi="ar"/>
              </w:rPr>
              <w:t>环保自愿者保护湘江“绿色卫士”行动项目</w:t>
            </w:r>
          </w:p>
        </w:tc>
        <w:tc>
          <w:tcPr>
            <w:tcW w:w="1427" w:type="dxa"/>
            <w:tcBorders>
              <w:top w:val="nil"/>
              <w:left w:val="nil"/>
              <w:bottom w:val="single" w:color="auto" w:sz="4" w:space="0"/>
              <w:right w:val="single" w:color="auto" w:sz="4" w:space="0"/>
            </w:tcBorders>
            <w:shd w:val="clear" w:color="000000" w:fill="FFFFFF"/>
            <w:vAlign w:val="center"/>
          </w:tcPr>
          <w:p>
            <w:pPr>
              <w:jc w:val="center"/>
              <w:textAlignment w:val="center"/>
              <w:rPr>
                <w:rFonts w:hint="eastAsia" w:ascii="宋体" w:hAnsi="宋体" w:cs="宋体"/>
                <w:sz w:val="21"/>
                <w:szCs w:val="21"/>
                <w:lang w:eastAsia="zh-CN" w:bidi="ar-SA"/>
              </w:rPr>
            </w:pPr>
            <w:r>
              <w:rPr>
                <w:rFonts w:hint="eastAsia" w:ascii="宋体" w:hAnsi="宋体" w:cs="宋体"/>
                <w:color w:val="000000"/>
                <w:sz w:val="21"/>
                <w:szCs w:val="21"/>
                <w:lang w:eastAsia="zh-CN" w:bidi="ar"/>
              </w:rPr>
              <w:t>60</w:t>
            </w:r>
          </w:p>
        </w:tc>
      </w:tr>
      <w:tr>
        <w:tblPrEx>
          <w:tblLayout w:type="fixed"/>
        </w:tblPrEx>
        <w:trPr>
          <w:trHeight w:val="420" w:hRule="atLeast"/>
        </w:trPr>
        <w:tc>
          <w:tcPr>
            <w:tcW w:w="7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hint="eastAsia" w:ascii="宋体" w:hAnsi="宋体" w:cs="宋体"/>
                <w:sz w:val="21"/>
                <w:szCs w:val="21"/>
                <w:lang w:eastAsia="zh-CN" w:bidi="ar-SA"/>
              </w:rPr>
            </w:pPr>
            <w:r>
              <w:rPr>
                <w:rFonts w:hint="eastAsia" w:ascii="宋体" w:hAnsi="宋体" w:cs="宋体"/>
                <w:color w:val="000000"/>
                <w:sz w:val="21"/>
                <w:szCs w:val="21"/>
                <w:lang w:eastAsia="zh-CN" w:bidi="ar"/>
              </w:rPr>
              <w:t>11</w:t>
            </w:r>
          </w:p>
        </w:tc>
        <w:tc>
          <w:tcPr>
            <w:tcW w:w="2669"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lang w:eastAsia="zh-CN" w:bidi="ar-SA"/>
              </w:rPr>
            </w:pPr>
          </w:p>
        </w:tc>
        <w:tc>
          <w:tcPr>
            <w:tcW w:w="4120"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宋体" w:hAnsi="宋体" w:cs="宋体"/>
                <w:sz w:val="21"/>
                <w:szCs w:val="21"/>
                <w:lang w:eastAsia="zh-CN" w:bidi="ar-SA"/>
              </w:rPr>
            </w:pPr>
            <w:r>
              <w:rPr>
                <w:rFonts w:hint="eastAsia" w:ascii="宋体" w:hAnsi="宋体" w:cs="宋体"/>
                <w:color w:val="000000"/>
                <w:sz w:val="21"/>
                <w:szCs w:val="21"/>
                <w:lang w:eastAsia="zh-CN" w:bidi="ar"/>
              </w:rPr>
              <w:t>环境污染事故应急项目</w:t>
            </w:r>
          </w:p>
        </w:tc>
        <w:tc>
          <w:tcPr>
            <w:tcW w:w="1427" w:type="dxa"/>
            <w:tcBorders>
              <w:top w:val="nil"/>
              <w:left w:val="nil"/>
              <w:bottom w:val="single" w:color="auto" w:sz="4" w:space="0"/>
              <w:right w:val="single" w:color="auto" w:sz="4" w:space="0"/>
            </w:tcBorders>
            <w:shd w:val="clear" w:color="000000" w:fill="FFFFFF"/>
            <w:vAlign w:val="center"/>
          </w:tcPr>
          <w:p>
            <w:pPr>
              <w:jc w:val="center"/>
              <w:textAlignment w:val="center"/>
              <w:rPr>
                <w:rFonts w:hint="eastAsia" w:ascii="宋体" w:hAnsi="宋体" w:cs="宋体"/>
                <w:sz w:val="21"/>
                <w:szCs w:val="21"/>
                <w:lang w:eastAsia="zh-CN" w:bidi="ar-SA"/>
              </w:rPr>
            </w:pPr>
            <w:r>
              <w:rPr>
                <w:rFonts w:hint="eastAsia" w:ascii="宋体" w:hAnsi="宋体" w:cs="宋体"/>
                <w:color w:val="000000"/>
                <w:sz w:val="21"/>
                <w:szCs w:val="21"/>
                <w:lang w:eastAsia="zh-CN" w:bidi="ar"/>
              </w:rPr>
              <w:t>10</w:t>
            </w:r>
          </w:p>
        </w:tc>
      </w:tr>
      <w:tr>
        <w:tblPrEx>
          <w:tblLayout w:type="fixed"/>
        </w:tblPrEx>
        <w:trPr>
          <w:trHeight w:val="420" w:hRule="atLeast"/>
        </w:trPr>
        <w:tc>
          <w:tcPr>
            <w:tcW w:w="7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hint="eastAsia" w:ascii="宋体" w:hAnsi="宋体" w:cs="宋体"/>
                <w:sz w:val="21"/>
                <w:szCs w:val="21"/>
                <w:lang w:eastAsia="zh-CN" w:bidi="ar-SA"/>
              </w:rPr>
            </w:pPr>
            <w:r>
              <w:rPr>
                <w:rFonts w:hint="eastAsia" w:ascii="宋体" w:hAnsi="宋体" w:cs="宋体"/>
                <w:color w:val="000000"/>
                <w:sz w:val="21"/>
                <w:szCs w:val="21"/>
                <w:lang w:eastAsia="zh-CN" w:bidi="ar"/>
              </w:rPr>
              <w:t>12</w:t>
            </w:r>
          </w:p>
        </w:tc>
        <w:tc>
          <w:tcPr>
            <w:tcW w:w="2669"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lang w:eastAsia="zh-CN" w:bidi="ar-SA"/>
              </w:rPr>
            </w:pPr>
          </w:p>
        </w:tc>
        <w:tc>
          <w:tcPr>
            <w:tcW w:w="4120"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宋体" w:hAnsi="宋体" w:cs="宋体"/>
                <w:sz w:val="21"/>
                <w:szCs w:val="21"/>
                <w:lang w:eastAsia="zh-CN" w:bidi="ar-SA"/>
              </w:rPr>
            </w:pPr>
            <w:r>
              <w:rPr>
                <w:rFonts w:hint="eastAsia" w:ascii="宋体" w:hAnsi="宋体" w:cs="宋体"/>
                <w:color w:val="000000"/>
                <w:sz w:val="21"/>
                <w:szCs w:val="21"/>
                <w:lang w:eastAsia="zh-CN" w:bidi="ar"/>
              </w:rPr>
              <w:t>污染防治攻坚战新闻媒体宣传</w:t>
            </w:r>
          </w:p>
        </w:tc>
        <w:tc>
          <w:tcPr>
            <w:tcW w:w="1427" w:type="dxa"/>
            <w:tcBorders>
              <w:top w:val="nil"/>
              <w:left w:val="nil"/>
              <w:bottom w:val="single" w:color="auto" w:sz="4" w:space="0"/>
              <w:right w:val="single" w:color="auto" w:sz="4" w:space="0"/>
            </w:tcBorders>
            <w:shd w:val="clear" w:color="000000" w:fill="FFFFFF"/>
            <w:vAlign w:val="center"/>
          </w:tcPr>
          <w:p>
            <w:pPr>
              <w:jc w:val="center"/>
              <w:textAlignment w:val="center"/>
              <w:rPr>
                <w:rFonts w:hint="eastAsia" w:ascii="宋体" w:hAnsi="宋体" w:cs="宋体"/>
                <w:sz w:val="21"/>
                <w:szCs w:val="21"/>
                <w:lang w:eastAsia="zh-CN" w:bidi="ar-SA"/>
              </w:rPr>
            </w:pPr>
            <w:r>
              <w:rPr>
                <w:rFonts w:hint="eastAsia" w:ascii="宋体" w:hAnsi="宋体" w:cs="宋体"/>
                <w:color w:val="000000"/>
                <w:sz w:val="21"/>
                <w:szCs w:val="21"/>
                <w:lang w:eastAsia="zh-CN" w:bidi="ar"/>
              </w:rPr>
              <w:t>100</w:t>
            </w:r>
          </w:p>
        </w:tc>
      </w:tr>
      <w:tr>
        <w:tblPrEx>
          <w:tblLayout w:type="fixed"/>
        </w:tblPrEx>
        <w:trPr>
          <w:trHeight w:val="420" w:hRule="atLeast"/>
        </w:trPr>
        <w:tc>
          <w:tcPr>
            <w:tcW w:w="7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hint="eastAsia" w:ascii="宋体" w:hAnsi="宋体" w:cs="宋体"/>
                <w:sz w:val="21"/>
                <w:szCs w:val="21"/>
                <w:lang w:eastAsia="zh-CN" w:bidi="ar-SA"/>
              </w:rPr>
            </w:pPr>
            <w:r>
              <w:rPr>
                <w:rFonts w:hint="eastAsia" w:ascii="宋体" w:hAnsi="宋体" w:cs="宋体"/>
                <w:color w:val="000000"/>
                <w:sz w:val="21"/>
                <w:szCs w:val="21"/>
                <w:lang w:eastAsia="zh-CN" w:bidi="ar"/>
              </w:rPr>
              <w:t>13</w:t>
            </w:r>
          </w:p>
        </w:tc>
        <w:tc>
          <w:tcPr>
            <w:tcW w:w="266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cs="宋体"/>
                <w:sz w:val="21"/>
                <w:szCs w:val="21"/>
                <w:lang w:eastAsia="zh-CN" w:bidi="ar-SA"/>
              </w:rPr>
            </w:pPr>
            <w:r>
              <w:rPr>
                <w:rFonts w:hint="eastAsia" w:ascii="宋体" w:hAnsi="宋体" w:cs="宋体"/>
                <w:color w:val="000000"/>
                <w:sz w:val="21"/>
                <w:szCs w:val="21"/>
                <w:lang w:eastAsia="zh-CN" w:bidi="ar"/>
              </w:rPr>
              <w:t>省生态环境监测中心</w:t>
            </w:r>
          </w:p>
        </w:tc>
        <w:tc>
          <w:tcPr>
            <w:tcW w:w="4120"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宋体" w:hAnsi="宋体" w:cs="宋体"/>
                <w:sz w:val="21"/>
                <w:szCs w:val="21"/>
                <w:lang w:eastAsia="zh-CN" w:bidi="ar-SA"/>
              </w:rPr>
            </w:pPr>
            <w:r>
              <w:rPr>
                <w:rFonts w:hint="eastAsia" w:ascii="宋体" w:hAnsi="宋体" w:cs="宋体"/>
                <w:color w:val="000000"/>
                <w:sz w:val="21"/>
                <w:szCs w:val="21"/>
                <w:lang w:eastAsia="zh-CN" w:bidi="ar"/>
              </w:rPr>
              <w:t>土壤监督性监测</w:t>
            </w:r>
          </w:p>
        </w:tc>
        <w:tc>
          <w:tcPr>
            <w:tcW w:w="1427" w:type="dxa"/>
            <w:tcBorders>
              <w:top w:val="nil"/>
              <w:left w:val="nil"/>
              <w:bottom w:val="single" w:color="auto" w:sz="4" w:space="0"/>
              <w:right w:val="single" w:color="auto" w:sz="4" w:space="0"/>
            </w:tcBorders>
            <w:shd w:val="clear" w:color="000000" w:fill="FFFFFF"/>
            <w:vAlign w:val="center"/>
          </w:tcPr>
          <w:p>
            <w:pPr>
              <w:jc w:val="center"/>
              <w:textAlignment w:val="center"/>
              <w:rPr>
                <w:rFonts w:hint="eastAsia" w:ascii="宋体" w:hAnsi="宋体" w:cs="宋体"/>
                <w:sz w:val="21"/>
                <w:szCs w:val="21"/>
                <w:lang w:eastAsia="zh-CN" w:bidi="ar-SA"/>
              </w:rPr>
            </w:pPr>
            <w:r>
              <w:rPr>
                <w:rFonts w:hint="eastAsia" w:ascii="宋体" w:hAnsi="宋体" w:cs="宋体"/>
                <w:color w:val="000000"/>
                <w:sz w:val="21"/>
                <w:szCs w:val="21"/>
                <w:lang w:eastAsia="zh-CN" w:bidi="ar"/>
              </w:rPr>
              <w:t>122.45</w:t>
            </w:r>
          </w:p>
        </w:tc>
      </w:tr>
      <w:tr>
        <w:tblPrEx>
          <w:tblLayout w:type="fixed"/>
        </w:tblPrEx>
        <w:trPr>
          <w:trHeight w:val="525" w:hRule="atLeast"/>
        </w:trPr>
        <w:tc>
          <w:tcPr>
            <w:tcW w:w="7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hint="eastAsia" w:ascii="宋体" w:hAnsi="宋体" w:cs="宋体"/>
                <w:sz w:val="21"/>
                <w:szCs w:val="21"/>
                <w:lang w:eastAsia="zh-CN" w:bidi="ar-SA"/>
              </w:rPr>
            </w:pPr>
            <w:r>
              <w:rPr>
                <w:rFonts w:hint="eastAsia" w:ascii="宋体" w:hAnsi="宋体" w:cs="宋体"/>
                <w:color w:val="000000"/>
                <w:sz w:val="21"/>
                <w:szCs w:val="21"/>
                <w:lang w:eastAsia="zh-CN" w:bidi="ar"/>
              </w:rPr>
              <w:t>14</w:t>
            </w:r>
          </w:p>
        </w:tc>
        <w:tc>
          <w:tcPr>
            <w:tcW w:w="2669"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宋体" w:hAnsi="宋体" w:cs="宋体"/>
                <w:sz w:val="21"/>
                <w:szCs w:val="21"/>
                <w:lang w:eastAsia="zh-CN" w:bidi="ar-SA"/>
              </w:rPr>
            </w:pPr>
            <w:r>
              <w:rPr>
                <w:rFonts w:hint="eastAsia" w:ascii="宋体" w:hAnsi="宋体" w:cs="宋体"/>
                <w:color w:val="000000"/>
                <w:sz w:val="21"/>
                <w:szCs w:val="21"/>
                <w:lang w:eastAsia="zh-CN" w:bidi="ar"/>
              </w:rPr>
              <w:t>省辐射站</w:t>
            </w:r>
          </w:p>
        </w:tc>
        <w:tc>
          <w:tcPr>
            <w:tcW w:w="4120"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宋体" w:hAnsi="宋体" w:cs="宋体"/>
                <w:sz w:val="21"/>
                <w:szCs w:val="21"/>
                <w:lang w:eastAsia="zh-CN" w:bidi="ar-SA"/>
              </w:rPr>
            </w:pPr>
            <w:r>
              <w:rPr>
                <w:rFonts w:hint="eastAsia" w:ascii="宋体" w:hAnsi="宋体" w:cs="宋体"/>
                <w:color w:val="000000"/>
                <w:sz w:val="21"/>
                <w:szCs w:val="21"/>
                <w:lang w:eastAsia="zh-CN" w:bidi="ar"/>
              </w:rPr>
              <w:t>湖南省辐射环境水质在线监测能力建设</w:t>
            </w:r>
          </w:p>
        </w:tc>
        <w:tc>
          <w:tcPr>
            <w:tcW w:w="1427" w:type="dxa"/>
            <w:tcBorders>
              <w:top w:val="nil"/>
              <w:left w:val="nil"/>
              <w:bottom w:val="single" w:color="auto" w:sz="4" w:space="0"/>
              <w:right w:val="single" w:color="auto" w:sz="4" w:space="0"/>
            </w:tcBorders>
            <w:shd w:val="clear" w:color="000000" w:fill="FFFFFF"/>
            <w:vAlign w:val="center"/>
          </w:tcPr>
          <w:p>
            <w:pPr>
              <w:jc w:val="center"/>
              <w:textAlignment w:val="center"/>
              <w:rPr>
                <w:rFonts w:hint="eastAsia" w:ascii="宋体" w:hAnsi="宋体" w:cs="宋体"/>
                <w:sz w:val="21"/>
                <w:szCs w:val="21"/>
                <w:lang w:eastAsia="zh-CN" w:bidi="ar-SA"/>
              </w:rPr>
            </w:pPr>
            <w:r>
              <w:rPr>
                <w:rFonts w:hint="eastAsia" w:ascii="宋体" w:hAnsi="宋体" w:cs="宋体"/>
                <w:color w:val="000000"/>
                <w:sz w:val="21"/>
                <w:szCs w:val="21"/>
                <w:lang w:eastAsia="zh-CN" w:bidi="ar"/>
              </w:rPr>
              <w:t>200</w:t>
            </w:r>
          </w:p>
        </w:tc>
      </w:tr>
      <w:tr>
        <w:tblPrEx>
          <w:tblLayout w:type="fixed"/>
        </w:tblPrEx>
        <w:trPr>
          <w:trHeight w:val="623" w:hRule="atLeast"/>
        </w:trPr>
        <w:tc>
          <w:tcPr>
            <w:tcW w:w="759"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cs="宋体"/>
                <w:sz w:val="21"/>
                <w:szCs w:val="21"/>
                <w:lang w:eastAsia="zh-CN" w:bidi="ar-SA"/>
              </w:rPr>
            </w:pPr>
          </w:p>
        </w:tc>
        <w:tc>
          <w:tcPr>
            <w:tcW w:w="2669" w:type="dxa"/>
            <w:tcBorders>
              <w:top w:val="nil"/>
              <w:left w:val="nil"/>
              <w:bottom w:val="single" w:color="auto" w:sz="4" w:space="0"/>
              <w:right w:val="single" w:color="auto" w:sz="4" w:space="0"/>
            </w:tcBorders>
            <w:shd w:val="clear" w:color="auto" w:fill="auto"/>
            <w:vAlign w:val="center"/>
          </w:tcPr>
          <w:p>
            <w:pPr>
              <w:jc w:val="left"/>
              <w:rPr>
                <w:rFonts w:hint="eastAsia" w:ascii="宋体" w:hAnsi="宋体" w:cs="宋体"/>
                <w:sz w:val="21"/>
                <w:szCs w:val="21"/>
                <w:lang w:eastAsia="zh-CN" w:bidi="ar-SA"/>
              </w:rPr>
            </w:pPr>
          </w:p>
        </w:tc>
        <w:tc>
          <w:tcPr>
            <w:tcW w:w="4120"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宋体" w:hAnsi="宋体" w:cs="宋体"/>
                <w:sz w:val="21"/>
                <w:szCs w:val="21"/>
                <w:lang w:eastAsia="zh-CN" w:bidi="ar-SA"/>
              </w:rPr>
            </w:pPr>
            <w:r>
              <w:rPr>
                <w:rFonts w:hint="eastAsia" w:ascii="宋体" w:hAnsi="宋体" w:cs="宋体"/>
                <w:color w:val="000000"/>
                <w:sz w:val="21"/>
                <w:szCs w:val="21"/>
                <w:lang w:eastAsia="zh-CN" w:bidi="ar"/>
              </w:rPr>
              <w:t>合计</w:t>
            </w:r>
          </w:p>
        </w:tc>
        <w:tc>
          <w:tcPr>
            <w:tcW w:w="1427" w:type="dxa"/>
            <w:tcBorders>
              <w:top w:val="nil"/>
              <w:left w:val="nil"/>
              <w:bottom w:val="single" w:color="auto" w:sz="4" w:space="0"/>
              <w:right w:val="single" w:color="auto" w:sz="4" w:space="0"/>
            </w:tcBorders>
            <w:shd w:val="clear" w:color="000000" w:fill="FFFFFF"/>
            <w:vAlign w:val="center"/>
          </w:tcPr>
          <w:p>
            <w:pPr>
              <w:jc w:val="center"/>
              <w:textAlignment w:val="center"/>
              <w:rPr>
                <w:rFonts w:hint="eastAsia" w:ascii="宋体" w:hAnsi="宋体" w:cs="宋体"/>
                <w:sz w:val="21"/>
                <w:szCs w:val="21"/>
                <w:lang w:eastAsia="zh-CN" w:bidi="ar-SA"/>
              </w:rPr>
            </w:pPr>
            <w:r>
              <w:rPr>
                <w:rFonts w:hint="eastAsia" w:ascii="宋体" w:hAnsi="宋体" w:cs="宋体"/>
                <w:color w:val="000000"/>
                <w:sz w:val="21"/>
                <w:szCs w:val="21"/>
                <w:lang w:eastAsia="zh-CN" w:bidi="ar"/>
              </w:rPr>
              <w:t>12743.32</w:t>
            </w:r>
          </w:p>
        </w:tc>
      </w:tr>
    </w:tbl>
    <w:p>
      <w:pPr>
        <w:autoSpaceDE w:val="0"/>
        <w:autoSpaceDN w:val="0"/>
        <w:adjustRightInd w:val="0"/>
        <w:spacing w:line="360" w:lineRule="auto"/>
        <w:jc w:val="center"/>
        <w:rPr>
          <w:rFonts w:hint="eastAsia" w:ascii="宋体" w:cs="宋体"/>
          <w:b/>
          <w:bCs/>
          <w:lang w:eastAsia="zh-CN" w:bidi="ar-SA"/>
        </w:rPr>
      </w:pPr>
    </w:p>
    <w:p>
      <w:pPr>
        <w:autoSpaceDE/>
        <w:autoSpaceDN/>
        <w:adjustRightInd/>
        <w:spacing w:line="240" w:lineRule="auto"/>
        <w:jc w:val="center"/>
        <w:rPr>
          <w:rFonts w:hint="eastAsia" w:ascii="宋体" w:hAnsi="宋体" w:cs="宋体"/>
          <w:lang w:eastAsia="zh-CN" w:bidi="ar-SA"/>
        </w:rPr>
      </w:pPr>
    </w:p>
    <w:tbl>
      <w:tblPr>
        <w:tblStyle w:val="8"/>
        <w:tblW w:w="8988" w:type="dxa"/>
        <w:tblInd w:w="0" w:type="dxa"/>
        <w:tblLayout w:type="fixed"/>
        <w:tblCellMar>
          <w:top w:w="0" w:type="dxa"/>
          <w:left w:w="0" w:type="dxa"/>
          <w:bottom w:w="0" w:type="dxa"/>
          <w:right w:w="0" w:type="dxa"/>
        </w:tblCellMar>
      </w:tblPr>
      <w:tblGrid>
        <w:gridCol w:w="2711"/>
        <w:gridCol w:w="2666"/>
        <w:gridCol w:w="3611"/>
      </w:tblGrid>
      <w:tr>
        <w:tblPrEx>
          <w:tblLayout w:type="fixed"/>
          <w:tblCellMar>
            <w:top w:w="0" w:type="dxa"/>
            <w:left w:w="0" w:type="dxa"/>
            <w:bottom w:w="0" w:type="dxa"/>
            <w:right w:w="0" w:type="dxa"/>
          </w:tblCellMar>
        </w:tblPrEx>
        <w:trPr>
          <w:trHeight w:val="285" w:hRule="atLeast"/>
        </w:trPr>
        <w:tc>
          <w:tcPr>
            <w:tcW w:w="8988" w:type="dxa"/>
            <w:gridSpan w:val="3"/>
            <w:tcBorders>
              <w:top w:val="nil"/>
              <w:left w:val="nil"/>
              <w:bottom w:val="nil"/>
              <w:right w:val="nil"/>
            </w:tcBorders>
            <w:tcMar>
              <w:top w:w="15" w:type="dxa"/>
              <w:left w:w="15" w:type="dxa"/>
              <w:right w:w="15" w:type="dxa"/>
            </w:tcMar>
            <w:vAlign w:val="center"/>
          </w:tcPr>
          <w:p>
            <w:pPr>
              <w:jc w:val="center"/>
              <w:textAlignment w:val="center"/>
              <w:rPr>
                <w:rFonts w:hint="eastAsia" w:ascii="宋体" w:hAnsi="宋体" w:cs="宋体"/>
                <w:color w:val="000000"/>
                <w:sz w:val="21"/>
                <w:szCs w:val="21"/>
                <w:lang w:eastAsia="zh-CN"/>
              </w:rPr>
            </w:pPr>
            <w:r>
              <w:rPr>
                <w:rFonts w:hint="eastAsia" w:ascii="宋体" w:hAnsi="宋体" w:cs="宋体"/>
                <w:color w:val="000000"/>
                <w:sz w:val="21"/>
                <w:szCs w:val="21"/>
                <w:lang w:eastAsia="zh-CN" w:bidi="ar"/>
              </w:rPr>
              <w:t>2019年市州项目安排资金安排明细表</w:t>
            </w:r>
          </w:p>
        </w:tc>
      </w:tr>
      <w:tr>
        <w:tblPrEx>
          <w:tblLayout w:type="fixed"/>
          <w:tblCellMar>
            <w:top w:w="0" w:type="dxa"/>
            <w:left w:w="0" w:type="dxa"/>
            <w:bottom w:w="0" w:type="dxa"/>
            <w:right w:w="0" w:type="dxa"/>
          </w:tblCellMar>
        </w:tblPrEx>
        <w:trPr>
          <w:trHeight w:val="285" w:hRule="atLeast"/>
        </w:trPr>
        <w:tc>
          <w:tcPr>
            <w:tcW w:w="27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项目名称</w:t>
            </w:r>
          </w:p>
        </w:tc>
        <w:tc>
          <w:tcPr>
            <w:tcW w:w="26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下达金额（万元）</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指标文件</w:t>
            </w:r>
          </w:p>
        </w:tc>
      </w:tr>
      <w:tr>
        <w:tblPrEx>
          <w:tblLayout w:type="fixed"/>
          <w:tblCellMar>
            <w:top w:w="0" w:type="dxa"/>
            <w:left w:w="0" w:type="dxa"/>
            <w:bottom w:w="0" w:type="dxa"/>
            <w:right w:w="0" w:type="dxa"/>
          </w:tblCellMar>
        </w:tblPrEx>
        <w:trPr>
          <w:trHeight w:val="570" w:hRule="atLeast"/>
        </w:trPr>
        <w:tc>
          <w:tcPr>
            <w:tcW w:w="27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大气污染防治资金</w:t>
            </w:r>
          </w:p>
        </w:tc>
        <w:tc>
          <w:tcPr>
            <w:tcW w:w="26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12000</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湘财建二指[2019]9号</w:t>
            </w:r>
          </w:p>
        </w:tc>
      </w:tr>
      <w:tr>
        <w:tblPrEx>
          <w:tblLayout w:type="fixed"/>
          <w:tblCellMar>
            <w:top w:w="0" w:type="dxa"/>
            <w:left w:w="0" w:type="dxa"/>
            <w:bottom w:w="0" w:type="dxa"/>
            <w:right w:w="0" w:type="dxa"/>
          </w:tblCellMar>
        </w:tblPrEx>
        <w:trPr>
          <w:trHeight w:val="570" w:hRule="atLeast"/>
        </w:trPr>
        <w:tc>
          <w:tcPr>
            <w:tcW w:w="27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土壤污染防治资金</w:t>
            </w:r>
          </w:p>
        </w:tc>
        <w:tc>
          <w:tcPr>
            <w:tcW w:w="26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10000</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湘财建二指[2019]10号</w:t>
            </w:r>
          </w:p>
        </w:tc>
      </w:tr>
      <w:tr>
        <w:tblPrEx>
          <w:tblLayout w:type="fixed"/>
          <w:tblCellMar>
            <w:top w:w="0" w:type="dxa"/>
            <w:left w:w="0" w:type="dxa"/>
            <w:bottom w:w="0" w:type="dxa"/>
            <w:right w:w="0" w:type="dxa"/>
          </w:tblCellMar>
        </w:tblPrEx>
        <w:trPr>
          <w:trHeight w:val="570" w:hRule="atLeast"/>
        </w:trPr>
        <w:tc>
          <w:tcPr>
            <w:tcW w:w="27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cs="宋体"/>
                <w:color w:val="000000"/>
                <w:sz w:val="21"/>
                <w:szCs w:val="21"/>
                <w:lang w:eastAsia="zh-CN"/>
              </w:rPr>
            </w:pPr>
            <w:r>
              <w:rPr>
                <w:rFonts w:hint="eastAsia" w:ascii="宋体" w:hAnsi="宋体" w:cs="宋体"/>
                <w:color w:val="000000"/>
                <w:sz w:val="21"/>
                <w:szCs w:val="21"/>
                <w:lang w:eastAsia="zh-CN" w:bidi="ar"/>
              </w:rPr>
              <w:t>农村环境综合整治资金</w:t>
            </w:r>
          </w:p>
        </w:tc>
        <w:tc>
          <w:tcPr>
            <w:tcW w:w="26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20000</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湘财建二指〔2019〕21号</w:t>
            </w:r>
          </w:p>
        </w:tc>
      </w:tr>
      <w:tr>
        <w:tblPrEx>
          <w:tblLayout w:type="fixed"/>
          <w:tblCellMar>
            <w:top w:w="0" w:type="dxa"/>
            <w:left w:w="0" w:type="dxa"/>
            <w:bottom w:w="0" w:type="dxa"/>
            <w:right w:w="0" w:type="dxa"/>
          </w:tblCellMar>
        </w:tblPrEx>
        <w:trPr>
          <w:trHeight w:val="570" w:hRule="atLeast"/>
        </w:trPr>
        <w:tc>
          <w:tcPr>
            <w:tcW w:w="27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省级环保专项资金</w:t>
            </w:r>
          </w:p>
        </w:tc>
        <w:tc>
          <w:tcPr>
            <w:tcW w:w="26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1343</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 xml:space="preserve">湘财建指〔2019〕11号 </w:t>
            </w:r>
          </w:p>
        </w:tc>
      </w:tr>
      <w:tr>
        <w:tblPrEx>
          <w:tblLayout w:type="fixed"/>
          <w:tblCellMar>
            <w:top w:w="0" w:type="dxa"/>
            <w:left w:w="0" w:type="dxa"/>
            <w:bottom w:w="0" w:type="dxa"/>
            <w:right w:w="0" w:type="dxa"/>
          </w:tblCellMar>
        </w:tblPrEx>
        <w:trPr>
          <w:trHeight w:val="285" w:hRule="atLeast"/>
        </w:trPr>
        <w:tc>
          <w:tcPr>
            <w:tcW w:w="27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合计</w:t>
            </w:r>
          </w:p>
        </w:tc>
        <w:tc>
          <w:tcPr>
            <w:tcW w:w="26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cs="宋体"/>
                <w:color w:val="000000"/>
                <w:sz w:val="21"/>
                <w:szCs w:val="21"/>
              </w:rPr>
            </w:pPr>
            <w:r>
              <w:rPr>
                <w:rFonts w:hint="eastAsia" w:ascii="宋体" w:hAnsi="宋体" w:cs="宋体"/>
                <w:color w:val="000000"/>
                <w:sz w:val="21"/>
                <w:szCs w:val="21"/>
                <w:lang w:eastAsia="zh-CN" w:bidi="ar"/>
              </w:rPr>
              <w:t>43343</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1"/>
                <w:szCs w:val="21"/>
              </w:rPr>
            </w:pPr>
          </w:p>
        </w:tc>
      </w:tr>
    </w:tbl>
    <w:p>
      <w:pPr>
        <w:adjustRightInd w:val="0"/>
        <w:snapToGrid w:val="0"/>
        <w:spacing w:line="360" w:lineRule="auto"/>
        <w:textAlignment w:val="center"/>
        <w:rPr>
          <w:rFonts w:hint="eastAsia" w:ascii="宋体" w:cs="宋体"/>
          <w:color w:val="000000"/>
          <w:sz w:val="21"/>
          <w:szCs w:val="21"/>
          <w:lang w:eastAsia="zh-CN" w:bidi="ar-SA"/>
        </w:rPr>
      </w:pPr>
    </w:p>
    <w:p>
      <w:pPr>
        <w:adjustRightInd w:val="0"/>
        <w:snapToGrid w:val="0"/>
        <w:spacing w:line="360" w:lineRule="auto"/>
        <w:ind w:firstLine="640" w:firstLineChars="200"/>
        <w:rPr>
          <w:rFonts w:hint="eastAsia" w:ascii="仿宋_GB2312" w:hAnsi="仿宋_GB2312" w:eastAsia="仿宋_GB2312" w:cs="仿宋_GB2312"/>
          <w:bCs/>
          <w:color w:val="000000"/>
          <w:sz w:val="32"/>
          <w:szCs w:val="32"/>
          <w:lang w:eastAsia="zh-CN" w:bidi="ar-SA"/>
        </w:rPr>
      </w:pPr>
      <w:r>
        <w:rPr>
          <w:rFonts w:hint="eastAsia" w:ascii="仿宋_GB2312" w:hAnsi="仿宋_GB2312" w:eastAsia="仿宋_GB2312" w:cs="仿宋_GB2312"/>
          <w:bCs/>
          <w:color w:val="000000"/>
          <w:sz w:val="32"/>
          <w:szCs w:val="32"/>
          <w:lang w:eastAsia="zh-CN" w:bidi="ar-SA"/>
        </w:rPr>
        <w:t>业务工作专项资金主要用于厅机关及各预算单位开展日常业务工作，也安排了省气象局、民进湖南省委等其他省直部门部分项目，整体预算执行率正常，大部分资金基本执行完毕,略有结余。环境保护与污染治理专项资金分为省本级和对市县转移支付2个方面，省本级除土壤污染快速检测仪、重点行业企业用地调查、湖南省辐射环境水质在线监测等能力建设类项目执行缓慢之外，其余项目支出基本完毕，对市县转移支付资金已全部在法定时间内下达各市县。</w:t>
      </w:r>
    </w:p>
    <w:p>
      <w:pPr>
        <w:widowControl/>
        <w:adjustRightInd w:val="0"/>
        <w:snapToGrid w:val="0"/>
        <w:spacing w:line="360" w:lineRule="auto"/>
        <w:ind w:firstLine="640" w:firstLineChars="200"/>
        <w:rPr>
          <w:rFonts w:hint="eastAsia" w:ascii="黑体" w:hAnsi="黑体" w:eastAsia="黑体" w:cs="黑体"/>
          <w:bCs/>
          <w:color w:val="000000"/>
          <w:sz w:val="32"/>
          <w:szCs w:val="32"/>
          <w:lang w:eastAsia="zh-CN" w:bidi="ar-SA"/>
        </w:rPr>
      </w:pPr>
      <w:r>
        <w:rPr>
          <w:rFonts w:hint="eastAsia" w:ascii="黑体" w:hAnsi="黑体" w:eastAsia="黑体" w:cs="黑体"/>
          <w:bCs/>
          <w:color w:val="000000"/>
          <w:sz w:val="32"/>
          <w:szCs w:val="32"/>
          <w:lang w:eastAsia="zh-CN" w:bidi="ar-SA"/>
        </w:rPr>
        <w:t>四、部门整体支出绩效情况</w:t>
      </w:r>
    </w:p>
    <w:p>
      <w:pPr>
        <w:widowControl/>
        <w:adjustRightInd/>
        <w:snapToGrid/>
        <w:spacing w:line="360" w:lineRule="auto"/>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Cs/>
          <w:color w:val="000000"/>
          <w:sz w:val="32"/>
          <w:szCs w:val="32"/>
          <w:lang w:eastAsia="zh-CN" w:bidi="ar-SA"/>
        </w:rPr>
        <w:t>为及时、高效地完成好本次绩效自评工作，我厅成立了2019年度部门整体支出及省级环境保护专项资金绩效评价工作领导小组，并及时下发了《湖南省生态环境厅办公室关于开展2019年度部门整体支出及省级环境保护专项资金绩效自评价工作的通知》，对2019年度部门整体支出与省级专项资金绩效自评价工作进行了部署，明确了项目绩效评价方法与程序，并细化了专项资金项目绩效评价内容，主要包括部门整体支出绩效目标的完成情况、财政资金使用管理情况、当年投入与产出及效益情况、公众满意度情况等方面，对《</w:t>
      </w:r>
      <w:r>
        <w:rPr>
          <w:rFonts w:hint="eastAsia" w:ascii="仿宋_GB2312" w:hAnsi="仿宋_GB2312" w:eastAsia="仿宋_GB2312" w:cs="仿宋_GB2312"/>
          <w:sz w:val="32"/>
          <w:szCs w:val="32"/>
          <w:lang w:eastAsia="zh-CN"/>
        </w:rPr>
        <w:t>2019年度部门整体支出绩效评价基础数据表</w:t>
      </w:r>
      <w:r>
        <w:rPr>
          <w:rFonts w:hint="eastAsia" w:ascii="仿宋_GB2312" w:hAnsi="仿宋_GB2312" w:eastAsia="仿宋_GB2312" w:cs="仿宋_GB2312"/>
          <w:bCs/>
          <w:color w:val="000000"/>
          <w:sz w:val="32"/>
          <w:szCs w:val="32"/>
          <w:lang w:eastAsia="zh-CN" w:bidi="ar-SA"/>
        </w:rPr>
        <w:t>》、《</w:t>
      </w:r>
      <w:r>
        <w:rPr>
          <w:rFonts w:hint="eastAsia" w:ascii="仿宋_GB2312" w:hAnsi="仿宋_GB2312" w:eastAsia="仿宋_GB2312" w:cs="仿宋_GB2312"/>
          <w:kern w:val="2"/>
          <w:sz w:val="32"/>
          <w:szCs w:val="32"/>
          <w:lang w:eastAsia="zh-CN" w:bidi="ar-SA"/>
        </w:rPr>
        <w:t>2019年度部门整体支出绩效自评表</w:t>
      </w:r>
      <w:r>
        <w:rPr>
          <w:rFonts w:hint="eastAsia" w:ascii="仿宋_GB2312" w:hAnsi="仿宋_GB2312" w:eastAsia="仿宋_GB2312" w:cs="仿宋_GB2312"/>
          <w:bCs/>
          <w:color w:val="000000"/>
          <w:sz w:val="32"/>
          <w:szCs w:val="32"/>
          <w:lang w:eastAsia="zh-CN" w:bidi="ar-SA"/>
        </w:rPr>
        <w:t>》、《</w:t>
      </w:r>
      <w:r>
        <w:rPr>
          <w:rFonts w:hint="eastAsia" w:ascii="仿宋_GB2312" w:hAnsi="仿宋_GB2312" w:eastAsia="仿宋_GB2312" w:cs="仿宋_GB2312"/>
          <w:sz w:val="32"/>
          <w:szCs w:val="32"/>
          <w:lang w:eastAsia="zh-CN"/>
        </w:rPr>
        <w:t>2019年度项目支出绩效自评表</w:t>
      </w:r>
      <w:r>
        <w:rPr>
          <w:rFonts w:hint="eastAsia" w:ascii="仿宋_GB2312" w:hAnsi="仿宋_GB2312" w:eastAsia="仿宋_GB2312" w:cs="仿宋_GB2312"/>
          <w:bCs/>
          <w:color w:val="000000"/>
          <w:sz w:val="32"/>
          <w:szCs w:val="32"/>
          <w:lang w:eastAsia="zh-CN" w:bidi="ar-SA"/>
        </w:rPr>
        <w:t>》</w:t>
      </w:r>
      <w:r>
        <w:rPr>
          <w:rFonts w:hint="eastAsia" w:ascii="仿宋_GB2312" w:hAnsi="仿宋_GB2312" w:eastAsia="仿宋_GB2312" w:cs="仿宋_GB2312"/>
          <w:sz w:val="32"/>
          <w:szCs w:val="32"/>
          <w:lang w:eastAsia="zh-CN" w:bidi="en-US"/>
        </w:rPr>
        <w:t>进行了具体细化。</w:t>
      </w:r>
    </w:p>
    <w:p>
      <w:pPr>
        <w:spacing w:line="360" w:lineRule="auto"/>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lang w:eastAsia="zh-CN"/>
        </w:rPr>
        <w:t>总体来说，201</w:t>
      </w:r>
      <w:r>
        <w:rPr>
          <w:rFonts w:hint="eastAsia" w:ascii="仿宋_GB2312" w:hAnsi="仿宋_GB2312" w:eastAsia="仿宋_GB2312" w:cs="仿宋_GB2312"/>
          <w:sz w:val="32"/>
          <w:szCs w:val="32"/>
          <w:lang w:eastAsia="zh-CN"/>
        </w:rPr>
        <w:t>9</w:t>
      </w:r>
      <w:r>
        <w:rPr>
          <w:rFonts w:hint="eastAsia" w:ascii="仿宋_GB2312" w:hAnsi="仿宋_GB2312" w:eastAsia="仿宋_GB2312" w:cs="仿宋_GB2312"/>
          <w:color w:val="auto"/>
          <w:sz w:val="32"/>
          <w:szCs w:val="32"/>
          <w:lang w:eastAsia="zh-CN"/>
        </w:rPr>
        <w:t>年</w:t>
      </w:r>
      <w:r>
        <w:rPr>
          <w:rFonts w:hint="eastAsia" w:ascii="仿宋_GB2312" w:hAnsi="仿宋_GB2312" w:eastAsia="仿宋_GB2312" w:cs="仿宋_GB2312"/>
          <w:sz w:val="32"/>
          <w:szCs w:val="32"/>
          <w:lang w:eastAsia="zh-CN"/>
        </w:rPr>
        <w:t>部门整体支出</w:t>
      </w:r>
      <w:r>
        <w:rPr>
          <w:rFonts w:hint="eastAsia" w:ascii="仿宋_GB2312" w:hAnsi="仿宋_GB2312" w:eastAsia="仿宋_GB2312" w:cs="仿宋_GB2312"/>
          <w:color w:val="auto"/>
          <w:sz w:val="32"/>
          <w:szCs w:val="32"/>
          <w:lang w:eastAsia="zh-CN"/>
        </w:rPr>
        <w:t>绩效目标完成情况较好，其中</w:t>
      </w:r>
      <w:r>
        <w:rPr>
          <w:rFonts w:hint="eastAsia" w:ascii="仿宋_GB2312" w:hAnsi="仿宋_GB2312" w:eastAsia="仿宋_GB2312" w:cs="仿宋_GB2312"/>
          <w:b w:val="0"/>
          <w:bCs w:val="0"/>
          <w:color w:val="auto"/>
          <w:sz w:val="32"/>
          <w:szCs w:val="32"/>
          <w:lang w:eastAsia="zh-CN"/>
        </w:rPr>
        <w:t>业务工作专项完成情况</w:t>
      </w:r>
      <w:r>
        <w:rPr>
          <w:rFonts w:hint="eastAsia" w:ascii="仿宋_GB2312" w:hAnsi="仿宋_GB2312" w:eastAsia="仿宋_GB2312" w:cs="仿宋_GB2312"/>
          <w:color w:val="auto"/>
          <w:sz w:val="32"/>
          <w:szCs w:val="32"/>
          <w:lang w:eastAsia="zh-CN"/>
        </w:rPr>
        <w:t>：</w:t>
      </w:r>
    </w:p>
    <w:p>
      <w:pPr>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b/>
          <w:bCs/>
          <w:color w:val="auto"/>
          <w:sz w:val="32"/>
          <w:szCs w:val="32"/>
          <w:lang w:eastAsia="zh-CN"/>
        </w:rPr>
        <w:t>一是</w:t>
      </w:r>
      <w:r>
        <w:rPr>
          <w:rFonts w:hint="eastAsia" w:ascii="仿宋_GB2312" w:hAnsi="仿宋_GB2312" w:eastAsia="仿宋_GB2312" w:cs="仿宋_GB2312"/>
          <w:color w:val="auto"/>
          <w:sz w:val="32"/>
          <w:szCs w:val="32"/>
          <w:lang w:eastAsia="zh-CN"/>
        </w:rPr>
        <w:t>完成</w:t>
      </w:r>
      <w:r>
        <w:rPr>
          <w:rFonts w:hint="eastAsia" w:ascii="仿宋_GB2312" w:hAnsi="仿宋_GB2312" w:eastAsia="仿宋_GB2312" w:cs="仿宋_GB2312"/>
          <w:sz w:val="32"/>
          <w:szCs w:val="32"/>
          <w:lang w:eastAsia="zh-CN"/>
        </w:rPr>
        <w:t>厅机关、省生态环境监测中心、省洞庭湖生态环境监测中心、省南岳空气背景站、省环境信息中心等单位实验室仪器设备、信息网络平台</w:t>
      </w:r>
      <w:r>
        <w:rPr>
          <w:rFonts w:hint="eastAsia" w:ascii="仿宋_GB2312" w:hAnsi="仿宋_GB2312" w:eastAsia="仿宋_GB2312" w:cs="仿宋_GB2312"/>
          <w:color w:val="auto"/>
          <w:sz w:val="32"/>
          <w:szCs w:val="32"/>
          <w:lang w:eastAsia="zh-CN"/>
        </w:rPr>
        <w:t>运维</w:t>
      </w:r>
      <w:r>
        <w:rPr>
          <w:rFonts w:hint="eastAsia" w:ascii="仿宋_GB2312" w:hAnsi="仿宋_GB2312" w:eastAsia="仿宋_GB2312" w:cs="仿宋_GB2312"/>
          <w:sz w:val="32"/>
          <w:szCs w:val="32"/>
          <w:lang w:eastAsia="zh-CN"/>
        </w:rPr>
        <w:t>，完成省辐射环境监督管理站核废物库的维护，更好地为环境管理提供服务和支持。新采购了一批环境监测仪器设，完成了部分监测、分析设备进行维修维护、更新换代，以及各类监测、分析等设备的计量认证工作。</w:t>
      </w:r>
    </w:p>
    <w:p>
      <w:pPr>
        <w:adjustRightInd w:val="0"/>
        <w:snapToGrid w:val="0"/>
        <w:spacing w:line="600" w:lineRule="exact"/>
        <w:ind w:firstLine="640" w:firstLineChars="200"/>
        <w:rPr>
          <w:rFonts w:ascii="仿宋_GB2312" w:hAnsi="仿宋_GB2312" w:eastAsia="仿宋_GB2312" w:cs="仿宋_GB2312"/>
          <w:kern w:val="0"/>
          <w:sz w:val="32"/>
          <w:szCs w:val="32"/>
          <w:lang w:eastAsia="zh-CN" w:bidi="en-US"/>
        </w:rPr>
      </w:pPr>
      <w:r>
        <w:rPr>
          <w:rFonts w:hint="eastAsia" w:ascii="仿宋_GB2312" w:hAnsi="仿宋_GB2312" w:eastAsia="仿宋_GB2312" w:cs="仿宋_GB2312"/>
          <w:b w:val="0"/>
          <w:bCs w:val="0"/>
          <w:color w:val="auto"/>
          <w:sz w:val="32"/>
          <w:szCs w:val="32"/>
          <w:lang w:eastAsia="zh-CN"/>
        </w:rPr>
        <w:t>二是</w:t>
      </w:r>
      <w:r>
        <w:rPr>
          <w:rFonts w:hint="eastAsia" w:ascii="仿宋_GB2312" w:hAnsi="仿宋_GB2312" w:eastAsia="仿宋_GB2312" w:cs="仿宋_GB2312"/>
          <w:color w:val="auto"/>
          <w:sz w:val="32"/>
          <w:szCs w:val="32"/>
          <w:lang w:eastAsia="zh-CN"/>
        </w:rPr>
        <w:t>积极开展201</w:t>
      </w:r>
      <w:r>
        <w:rPr>
          <w:rFonts w:hint="eastAsia" w:ascii="仿宋_GB2312" w:hAnsi="仿宋_GB2312" w:eastAsia="仿宋_GB2312" w:cs="仿宋_GB2312"/>
          <w:sz w:val="32"/>
          <w:szCs w:val="32"/>
          <w:lang w:eastAsia="zh-CN"/>
        </w:rPr>
        <w:t>9</w:t>
      </w:r>
      <w:r>
        <w:rPr>
          <w:rFonts w:hint="eastAsia" w:ascii="仿宋_GB2312" w:hAnsi="仿宋_GB2312" w:eastAsia="仿宋_GB2312" w:cs="仿宋_GB2312"/>
          <w:color w:val="auto"/>
          <w:sz w:val="32"/>
          <w:szCs w:val="32"/>
          <w:lang w:eastAsia="zh-CN"/>
        </w:rPr>
        <w:t>年度的环保志愿者、全民环境教育工作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bidi="en-US"/>
        </w:rPr>
        <w:t>围绕全省环境保护重点工作和宣教要点积极主动作为，</w:t>
      </w:r>
      <w:r>
        <w:rPr>
          <w:rFonts w:hint="eastAsia" w:ascii="仿宋_GB2312" w:hAnsi="仿宋_GB2312" w:eastAsia="仿宋_GB2312" w:cs="仿宋_GB2312"/>
          <w:sz w:val="32"/>
          <w:szCs w:val="32"/>
          <w:lang w:eastAsia="zh-CN"/>
        </w:rPr>
        <w:t>全</w:t>
      </w:r>
      <w:r>
        <w:rPr>
          <w:rFonts w:hint="eastAsia" w:ascii="仿宋_GB2312" w:hAnsi="仿宋_GB2312" w:eastAsia="仿宋_GB2312" w:cs="仿宋_GB2312"/>
          <w:sz w:val="32"/>
          <w:szCs w:val="32"/>
          <w:lang w:eastAsia="zh-CN" w:bidi="en-US"/>
        </w:rPr>
        <w:t>年</w:t>
      </w:r>
      <w:r>
        <w:rPr>
          <w:rFonts w:hint="eastAsia" w:ascii="仿宋_GB2312" w:hAnsi="仿宋_GB2312" w:eastAsia="仿宋_GB2312" w:cs="仿宋_GB2312"/>
          <w:sz w:val="32"/>
          <w:szCs w:val="32"/>
          <w:lang w:eastAsia="zh-CN"/>
        </w:rPr>
        <w:t>共</w:t>
      </w:r>
      <w:r>
        <w:rPr>
          <w:rFonts w:hint="eastAsia" w:ascii="仿宋_GB2312" w:hAnsi="仿宋_GB2312" w:eastAsia="仿宋_GB2312" w:cs="仿宋_GB2312"/>
          <w:sz w:val="32"/>
          <w:szCs w:val="32"/>
          <w:lang w:eastAsia="zh-CN" w:bidi="en-US"/>
        </w:rPr>
        <w:t>完成厅系统60余场次常规性活动和会议的拍摄任务，同时还参与了一些重大行动的拍摄报道，如：益阳泥江口镇煤矿漏水事件、娄底冷水江利民煤矿矿涌水事件、“一法两条例”执法检查等。保障了</w:t>
      </w:r>
      <w:r>
        <w:rPr>
          <w:rFonts w:hint="eastAsia" w:ascii="仿宋_GB2312" w:hAnsi="仿宋_GB2312" w:eastAsia="仿宋_GB2312" w:cs="仿宋_GB2312"/>
          <w:kern w:val="0"/>
          <w:sz w:val="32"/>
          <w:szCs w:val="32"/>
          <w:lang w:eastAsia="zh-CN" w:bidi="en-US"/>
        </w:rPr>
        <w:t>2次新闻发布会的召开、达到了预期的效果。积极参加株洲六五环境日湖南主场活动，制作“环保铁军人物”颁奖视频；组织开展“大美湖南 绿行三湘”全省自然人文地理风貌纪实拍摄环保志愿服务活动。</w:t>
      </w:r>
    </w:p>
    <w:p>
      <w:pPr>
        <w:adjustRightInd w:val="0"/>
        <w:snapToGrid w:val="0"/>
        <w:spacing w:line="60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b w:val="0"/>
          <w:bCs w:val="0"/>
          <w:color w:val="auto"/>
          <w:sz w:val="32"/>
          <w:szCs w:val="32"/>
          <w:lang w:eastAsia="zh-CN"/>
        </w:rPr>
        <w:t>三是</w:t>
      </w:r>
      <w:r>
        <w:rPr>
          <w:rFonts w:hint="eastAsia" w:ascii="仿宋_GB2312" w:hAnsi="仿宋_GB2312" w:eastAsia="仿宋_GB2312" w:cs="仿宋_GB2312"/>
          <w:sz w:val="32"/>
          <w:szCs w:val="32"/>
          <w:lang w:eastAsia="zh-CN"/>
        </w:rPr>
        <w:t>积极开展系统干部大培训工作。2019年，长沙环保职院共培训学员 7142人，完成各级各类培训56期，其中：生态环境部等国家级培训16期，湖南省内培训30期，外省培训10期，圆满完成各项目标任务。永州市生态环境局环保基础知识培训班及在西藏山南市开发1期生态环境系统业务能力培训班效果良好，获得广大学员的一致好评。</w:t>
      </w:r>
    </w:p>
    <w:p>
      <w:pPr>
        <w:keepNext w:val="0"/>
        <w:adjustRightInd w:val="0"/>
        <w:snapToGrid w:val="0"/>
        <w:spacing w:line="600" w:lineRule="exact"/>
        <w:ind w:firstLine="640" w:firstLineChars="200"/>
        <w:rPr>
          <w:rFonts w:hint="eastAsia" w:ascii="仿宋_GB2312" w:hAnsi="仿宋_GB2312" w:eastAsia="仿宋_GB2312" w:cs="仿宋_GB2312"/>
          <w:b w:val="0"/>
          <w:bCs w:val="0"/>
          <w:kern w:val="0"/>
          <w:sz w:val="32"/>
          <w:szCs w:val="32"/>
          <w:lang w:eastAsia="zh-CN" w:bidi="en-US"/>
        </w:rPr>
      </w:pPr>
      <w:r>
        <w:rPr>
          <w:rFonts w:hint="eastAsia" w:ascii="仿宋_GB2312" w:hAnsi="仿宋_GB2312" w:eastAsia="仿宋_GB2312" w:cs="仿宋_GB2312"/>
          <w:sz w:val="32"/>
          <w:szCs w:val="32"/>
          <w:lang w:eastAsia="zh-CN"/>
        </w:rPr>
        <w:t>四是</w:t>
      </w:r>
      <w:r>
        <w:rPr>
          <w:rFonts w:hint="eastAsia" w:ascii="仿宋_GB2312" w:hAnsi="仿宋_GB2312" w:eastAsia="仿宋_GB2312" w:cs="仿宋_GB2312"/>
          <w:b w:val="0"/>
          <w:color w:val="auto"/>
          <w:kern w:val="0"/>
          <w:sz w:val="32"/>
          <w:szCs w:val="32"/>
          <w:lang w:eastAsia="zh-CN" w:bidi="en-US"/>
        </w:rPr>
        <w:t>持续抓好环评项目技术审查把关。</w:t>
      </w:r>
      <w:r>
        <w:rPr>
          <w:rFonts w:hint="eastAsia" w:ascii="仿宋_GB2312" w:hAnsi="仿宋_GB2312" w:eastAsia="仿宋_GB2312" w:cs="仿宋_GB2312"/>
          <w:sz w:val="32"/>
          <w:szCs w:val="32"/>
          <w:lang w:eastAsia="zh-CN"/>
        </w:rPr>
        <w:t>全年</w:t>
      </w:r>
      <w:r>
        <w:rPr>
          <w:rFonts w:hint="eastAsia" w:ascii="仿宋_GB2312" w:hAnsi="仿宋_GB2312" w:eastAsia="仿宋_GB2312" w:cs="仿宋_GB2312"/>
          <w:b w:val="0"/>
          <w:kern w:val="0"/>
          <w:sz w:val="32"/>
          <w:szCs w:val="32"/>
          <w:lang w:eastAsia="zh-CN" w:bidi="en-US"/>
        </w:rPr>
        <w:t>共受理项目121项，其中：建设项目85项、规划环评9项、跟踪评价27项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kern w:val="0"/>
          <w:sz w:val="32"/>
          <w:szCs w:val="32"/>
          <w:lang w:eastAsia="zh-CN" w:bidi="en-US"/>
        </w:rPr>
        <w:t>涉及建设项目总投资约804.23亿元，其中环保投资约24.6亿元</w:t>
      </w:r>
      <w:r>
        <w:rPr>
          <w:rFonts w:hint="eastAsia" w:ascii="仿宋_GB2312" w:hAnsi="仿宋_GB2312" w:eastAsia="仿宋_GB2312" w:cs="仿宋_GB2312"/>
          <w:sz w:val="32"/>
          <w:szCs w:val="32"/>
          <w:lang w:eastAsia="zh-CN"/>
        </w:rPr>
        <w:t>。全</w:t>
      </w:r>
      <w:r>
        <w:rPr>
          <w:rFonts w:hint="eastAsia" w:ascii="仿宋_GB2312" w:hAnsi="仿宋_GB2312" w:eastAsia="仿宋_GB2312" w:cs="仿宋_GB2312"/>
          <w:b w:val="0"/>
          <w:kern w:val="0"/>
          <w:sz w:val="32"/>
          <w:szCs w:val="32"/>
          <w:lang w:eastAsia="zh-CN" w:bidi="en-US"/>
        </w:rPr>
        <w:t>年有效开展了80多个重点工程的技术评估和园区规划的技术审查工作，有效完成省政府和省厅交办的各项重点工程任务。</w:t>
      </w:r>
    </w:p>
    <w:p>
      <w:pPr>
        <w:widowControl/>
        <w:adjustRightInd w:val="0"/>
        <w:snapToGrid w:val="0"/>
        <w:spacing w:line="600" w:lineRule="exact"/>
        <w:ind w:firstLine="640" w:firstLineChars="200"/>
        <w:jc w:val="left"/>
        <w:outlineLvl w:val="9"/>
        <w:rPr>
          <w:rFonts w:hint="eastAsia" w:ascii="仿宋_GB2312" w:hAnsi="仿宋_GB2312" w:eastAsia="仿宋_GB2312" w:cs="仿宋_GB2312"/>
          <w:kern w:val="0"/>
          <w:sz w:val="32"/>
          <w:szCs w:val="32"/>
          <w:lang w:eastAsia="zh-CN" w:bidi="en-US"/>
        </w:rPr>
      </w:pPr>
      <w:r>
        <w:rPr>
          <w:rFonts w:hint="eastAsia" w:ascii="仿宋_GB2312" w:hAnsi="仿宋_GB2312" w:eastAsia="仿宋_GB2312" w:cs="仿宋_GB2312"/>
          <w:sz w:val="32"/>
          <w:szCs w:val="32"/>
          <w:lang w:eastAsia="zh-CN"/>
        </w:rPr>
        <w:t>五是</w:t>
      </w:r>
      <w:r>
        <w:rPr>
          <w:rFonts w:hint="eastAsia" w:ascii="仿宋_GB2312" w:hAnsi="仿宋_GB2312" w:eastAsia="仿宋_GB2312" w:cs="仿宋_GB2312"/>
          <w:bCs w:val="0"/>
          <w:color w:val="auto"/>
          <w:kern w:val="0"/>
          <w:sz w:val="32"/>
          <w:szCs w:val="32"/>
          <w:lang w:eastAsia="zh-CN" w:bidi="en-US"/>
        </w:rPr>
        <w:t>高效高质</w:t>
      </w:r>
      <w:r>
        <w:rPr>
          <w:rFonts w:hint="eastAsia" w:ascii="仿宋_GB2312" w:hAnsi="仿宋_GB2312" w:eastAsia="仿宋_GB2312" w:cs="仿宋_GB2312"/>
          <w:sz w:val="32"/>
          <w:szCs w:val="32"/>
          <w:lang w:eastAsia="zh-CN"/>
        </w:rPr>
        <w:t>完成我</w:t>
      </w:r>
      <w:r>
        <w:rPr>
          <w:rFonts w:hint="eastAsia" w:ascii="仿宋_GB2312" w:hAnsi="仿宋_GB2312" w:eastAsia="仿宋_GB2312" w:cs="仿宋_GB2312"/>
          <w:bCs w:val="0"/>
          <w:color w:val="auto"/>
          <w:kern w:val="0"/>
          <w:sz w:val="32"/>
          <w:szCs w:val="32"/>
          <w:lang w:eastAsia="zh-CN" w:bidi="en-US"/>
        </w:rPr>
        <w:t>省“三线一单”编制工作。</w:t>
      </w:r>
      <w:r>
        <w:rPr>
          <w:rFonts w:hint="eastAsia" w:ascii="仿宋_GB2312" w:hAnsi="仿宋_GB2312" w:eastAsia="仿宋_GB2312" w:cs="仿宋_GB2312"/>
          <w:kern w:val="0"/>
          <w:sz w:val="32"/>
          <w:szCs w:val="32"/>
          <w:lang w:eastAsia="zh-CN" w:bidi="en-US"/>
        </w:rPr>
        <w:t>2019年，针对生态环境部、省政府提出的相关要求，</w:t>
      </w:r>
      <w:r>
        <w:rPr>
          <w:rFonts w:hint="eastAsia" w:ascii="仿宋_GB2312" w:hAnsi="仿宋_GB2312" w:eastAsia="仿宋_GB2312" w:cs="仿宋_GB2312"/>
          <w:sz w:val="32"/>
          <w:szCs w:val="32"/>
          <w:lang w:eastAsia="zh-CN"/>
        </w:rPr>
        <w:t>我厅</w:t>
      </w:r>
      <w:r>
        <w:rPr>
          <w:rFonts w:hint="eastAsia" w:ascii="仿宋_GB2312" w:hAnsi="仿宋_GB2312" w:eastAsia="仿宋_GB2312" w:cs="仿宋_GB2312"/>
          <w:kern w:val="0"/>
          <w:sz w:val="32"/>
          <w:szCs w:val="32"/>
          <w:lang w:eastAsia="zh-CN" w:bidi="en-US"/>
        </w:rPr>
        <w:t>召开编制技术讨论会40余次，技术工作每周一调度。全年共完成六轮省级成果的技术对接，多轮生态环境准入清单的技术培训与指导，所有对接工作均涉及到14个市州的128个区县，共2000多人次参加省级对接、培训与交流，已顺利通生态环境部组织的专家技术审核。</w:t>
      </w:r>
    </w:p>
    <w:p>
      <w:pPr>
        <w:spacing w:line="360" w:lineRule="auto"/>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是辐射环境监管能力显著提升。完成2019年度辐射环境监测国控点46个点位及重点核设施周边环境7个点位四个季度采样任务和监测任务。开展核技术利用辐射安全监督性监测296次，配合电磁辐射纠纷调处3起并进行电磁辐射监测。认真开展辐射环境自动监测站运行维护，全年共对自动站和我厅数据中心进行硬件维修维护7次，及时组织对望城现有站和怀化基本站的工控机和高压电离室故障进行大修，确保我省的自动监测数据上报率在90%以上。</w:t>
      </w:r>
    </w:p>
    <w:p>
      <w:pPr>
        <w:spacing w:line="360" w:lineRule="auto"/>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七是</w:t>
      </w:r>
      <w:r>
        <w:rPr>
          <w:rFonts w:hint="eastAsia" w:ascii="仿宋_GB2312" w:hAnsi="仿宋_GB2312" w:eastAsia="仿宋_GB2312" w:cs="仿宋_GB2312"/>
          <w:color w:val="auto"/>
          <w:sz w:val="32"/>
          <w:szCs w:val="32"/>
          <w:lang w:eastAsia="zh-CN"/>
        </w:rPr>
        <w:t>最大限度保证了环境监察稽查工作及执法专项行动的顺利进行以及环境监察执法船的正常运行维护，移动执法系统能力建设也保证了全省</w:t>
      </w:r>
      <w:r>
        <w:rPr>
          <w:rFonts w:hint="eastAsia" w:ascii="仿宋_GB2312" w:hAnsi="仿宋_GB2312" w:eastAsia="仿宋_GB2312" w:cs="仿宋_GB2312"/>
          <w:sz w:val="32"/>
          <w:szCs w:val="32"/>
          <w:lang w:eastAsia="zh-CN"/>
        </w:rPr>
        <w:t>各级环境监察机构环境监察移动执法系统的建设，基本实现移动执法的全省覆盖。通过开展移动执法系统的建设和使用，逐步完善环境监察执法管理数据库，初步建立监察业务的协同办理、人员任务的监督考核等内容的综合管理平台，为提升基层环境监管能力和执法水平提供支撑。</w:t>
      </w:r>
    </w:p>
    <w:p>
      <w:pPr>
        <w:spacing w:line="360" w:lineRule="auto"/>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八是完成污染防治攻坚战技术支撑工作。年内共完成《湖南省主要水系地表水（环境）功能区划修编》</w:t>
      </w:r>
      <w:r>
        <w:rPr>
          <w:rFonts w:ascii="仿宋_GB2312" w:hAnsi="仿宋_GB2312" w:eastAsia="仿宋_GB2312" w:cs="仿宋_GB2312"/>
          <w:kern w:val="0"/>
          <w:sz w:val="32"/>
          <w:szCs w:val="32"/>
          <w:lang w:eastAsia="zh-CN" w:bidi="en-US"/>
        </w:rPr>
        <w:t>生态环境管理技术支撑文件编制</w:t>
      </w:r>
      <w:r>
        <w:rPr>
          <w:rFonts w:hint="eastAsia" w:ascii="仿宋_GB2312" w:hAnsi="仿宋_GB2312" w:eastAsia="仿宋_GB2312" w:cs="仿宋_GB2312"/>
          <w:sz w:val="32"/>
          <w:szCs w:val="32"/>
          <w:lang w:eastAsia="zh-CN"/>
        </w:rPr>
        <w:t>等</w:t>
      </w:r>
      <w:r>
        <w:rPr>
          <w:rFonts w:ascii="仿宋_GB2312" w:hAnsi="仿宋_GB2312" w:eastAsia="仿宋_GB2312" w:cs="仿宋_GB2312"/>
          <w:kern w:val="0"/>
          <w:sz w:val="32"/>
          <w:szCs w:val="32"/>
          <w:lang w:eastAsia="zh-CN" w:bidi="en-US"/>
        </w:rPr>
        <w:t>16个研发课题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eastAsia="zh-CN"/>
        </w:rPr>
        <w:t>完成了201</w:t>
      </w:r>
      <w:r>
        <w:rPr>
          <w:rFonts w:hint="eastAsia" w:ascii="仿宋_GB2312" w:hAnsi="仿宋_GB2312" w:eastAsia="仿宋_GB2312" w:cs="仿宋_GB2312"/>
          <w:sz w:val="32"/>
          <w:szCs w:val="32"/>
          <w:lang w:eastAsia="zh-CN"/>
        </w:rPr>
        <w:t>9</w:t>
      </w:r>
      <w:r>
        <w:rPr>
          <w:rFonts w:hint="eastAsia" w:ascii="仿宋_GB2312" w:hAnsi="仿宋_GB2312" w:eastAsia="仿宋_GB2312" w:cs="仿宋_GB2312"/>
          <w:color w:val="auto"/>
          <w:sz w:val="32"/>
          <w:szCs w:val="32"/>
          <w:lang w:eastAsia="zh-CN"/>
        </w:rPr>
        <w:t>年度危险废物管理考核审核及废弃电器电子产品处理监管和审核工作</w:t>
      </w:r>
      <w:r>
        <w:rPr>
          <w:rFonts w:hint="eastAsia" w:ascii="仿宋_GB2312" w:hAnsi="仿宋_GB2312" w:eastAsia="仿宋_GB2312" w:cs="仿宋_GB2312"/>
          <w:sz w:val="32"/>
          <w:szCs w:val="32"/>
          <w:lang w:eastAsia="zh-CN"/>
        </w:rPr>
        <w:t>。</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b w:val="0"/>
          <w:bCs w:val="0"/>
          <w:color w:val="auto"/>
          <w:sz w:val="32"/>
          <w:szCs w:val="32"/>
          <w:lang w:eastAsia="zh-CN"/>
        </w:rPr>
        <w:t>是</w:t>
      </w:r>
      <w:r>
        <w:rPr>
          <w:rFonts w:hint="eastAsia" w:ascii="仿宋_GB2312" w:hAnsi="仿宋_GB2312" w:eastAsia="仿宋_GB2312" w:cs="仿宋_GB2312"/>
          <w:color w:val="auto"/>
          <w:sz w:val="32"/>
          <w:szCs w:val="32"/>
          <w:lang w:eastAsia="zh-CN"/>
        </w:rPr>
        <w:t>完成201</w:t>
      </w:r>
      <w:r>
        <w:rPr>
          <w:rFonts w:hint="eastAsia" w:ascii="仿宋_GB2312" w:hAnsi="仿宋_GB2312" w:eastAsia="仿宋_GB2312" w:cs="仿宋_GB2312"/>
          <w:sz w:val="32"/>
          <w:szCs w:val="32"/>
          <w:lang w:eastAsia="zh-CN"/>
        </w:rPr>
        <w:t>9</w:t>
      </w:r>
      <w:r>
        <w:rPr>
          <w:rFonts w:hint="eastAsia" w:ascii="仿宋_GB2312" w:hAnsi="仿宋_GB2312" w:eastAsia="仿宋_GB2312" w:cs="仿宋_GB2312"/>
          <w:color w:val="auto"/>
          <w:sz w:val="32"/>
          <w:szCs w:val="32"/>
          <w:lang w:eastAsia="zh-CN"/>
        </w:rPr>
        <w:t>年</w:t>
      </w:r>
      <w:r>
        <w:rPr>
          <w:rFonts w:hint="eastAsia" w:ascii="仿宋_GB2312" w:hAnsi="仿宋_GB2312" w:eastAsia="仿宋_GB2312" w:cs="仿宋_GB2312"/>
          <w:sz w:val="32"/>
          <w:szCs w:val="32"/>
          <w:lang w:eastAsia="zh-CN"/>
        </w:rPr>
        <w:t>厅</w:t>
      </w:r>
      <w:r>
        <w:rPr>
          <w:rFonts w:hint="eastAsia" w:ascii="仿宋_GB2312" w:hAnsi="仿宋_GB2312" w:eastAsia="仿宋_GB2312" w:cs="仿宋_GB2312"/>
          <w:color w:val="auto"/>
          <w:sz w:val="32"/>
          <w:szCs w:val="32"/>
          <w:lang w:eastAsia="zh-CN"/>
        </w:rPr>
        <w:t>机关党建、人事教育培训、工会、共青团建设等</w:t>
      </w:r>
      <w:r>
        <w:rPr>
          <w:rFonts w:hint="eastAsia" w:ascii="仿宋_GB2312" w:hAnsi="仿宋_GB2312" w:eastAsia="仿宋_GB2312" w:cs="仿宋_GB2312"/>
          <w:sz w:val="32"/>
          <w:szCs w:val="32"/>
          <w:lang w:eastAsia="zh-CN"/>
        </w:rPr>
        <w:t>工作，完成</w:t>
      </w:r>
      <w:r>
        <w:rPr>
          <w:rFonts w:hint="eastAsia" w:ascii="仿宋_GB2312" w:hAnsi="仿宋_GB2312" w:eastAsia="仿宋_GB2312" w:cs="仿宋_GB2312"/>
          <w:color w:val="auto"/>
          <w:sz w:val="32"/>
          <w:szCs w:val="32"/>
          <w:lang w:eastAsia="zh-CN"/>
        </w:rPr>
        <w:t>香港、澳门环保展及其他外事活动。</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2019年环境保护与污染治理专项完成情况：</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是全省环境质量问题提升。以打好蓝天、碧水、净土三大保卫战为主线，统筹打好长江保护修复、农业农村污染治理、柴油货车污染治理、黑臭水体整治等重大标志性战役。扎实开展涉气“散乱污”企业排查整治，完成长株潭及传输通道城市40个锅炉窑炉提标改造任务，对5373个建筑施工工地扬尘进行整治，强力推进秸秆禁烧、加强烟花爆竹燃放管理等工作。以“一江一湖四水”治理为重点，推进湘江流域和洞庭湖山水林田湖草生态保护修复工程，出台《湖南省贯彻落实&lt;长江保护修复攻坚战行动计划&gt;实施方案》、《洞庭湖水环境综合治理规划实施方案（2018-2025年）》、《湘江保护和治理第三个“三年行动计划”实施方案》，完成954处“千吨万人”饮用水水源地划定并组织排查；完成省级及以上工业园区316个环境问题整治。全面完成全省农用地土壤污染状况详查，积极推进全省重点行业企业用地调查，实施涉镉等重金属重点行业企业排查整治行动，开展尾矿库污染整治和绿色矿山建设，推进危险废物规范化管理工作。连续第三年发动“夏季攻势”，完成10大类问题1256项具体任务。2019年全省14个城市环境空气平均优良天数比例为83.7%，超过年度目标1.2个百分点，PM</w:t>
      </w:r>
      <w:r>
        <w:rPr>
          <w:rFonts w:hint="eastAsia" w:ascii="仿宋_GB2312" w:hAnsi="仿宋_GB2312" w:eastAsia="仿宋_GB2312" w:cs="仿宋_GB2312"/>
          <w:sz w:val="32"/>
          <w:szCs w:val="32"/>
          <w:vertAlign w:val="subscript"/>
          <w:lang w:eastAsia="zh-CN"/>
        </w:rPr>
        <w:t>2.5</w:t>
      </w:r>
      <w:r>
        <w:rPr>
          <w:rFonts w:hint="eastAsia" w:ascii="仿宋_GB2312" w:hAnsi="仿宋_GB2312" w:eastAsia="仿宋_GB2312" w:cs="仿宋_GB2312"/>
          <w:sz w:val="32"/>
          <w:szCs w:val="32"/>
          <w:lang w:eastAsia="zh-CN"/>
        </w:rPr>
        <w:t>平均浓度为41微克/立方米，PM</w:t>
      </w:r>
      <w:r>
        <w:rPr>
          <w:rFonts w:hint="eastAsia" w:ascii="仿宋_GB2312" w:hAnsi="仿宋_GB2312" w:eastAsia="仿宋_GB2312" w:cs="仿宋_GB2312"/>
          <w:sz w:val="32"/>
          <w:szCs w:val="32"/>
          <w:vertAlign w:val="subscript"/>
          <w:lang w:eastAsia="zh-CN"/>
        </w:rPr>
        <w:t>10</w:t>
      </w:r>
      <w:r>
        <w:rPr>
          <w:rFonts w:hint="eastAsia" w:ascii="仿宋_GB2312" w:hAnsi="仿宋_GB2312" w:eastAsia="仿宋_GB2312" w:cs="仿宋_GB2312"/>
          <w:sz w:val="32"/>
          <w:szCs w:val="32"/>
          <w:lang w:eastAsia="zh-CN"/>
        </w:rPr>
        <w:t>平均浓度为60微克/立方米，均达到了年度考核目标；郴州、湘西和张家界3个市州达到国家环境空气质量二级标准；345个省考断面Ⅰ-Ⅲ类优良水质比例为95.4%，同比上升0.9个百分点；60个国考断面Ⅰ-Ⅲ类优良水质比例为91.7%，同比上升1.7个百分点；28个国家水十条考核地市级饮用水水源地水质达标率为96.4%；大通湖断面基本消除劣V类；洞庭湖总磷浓度从2018年的0.069毫克/升持续下降到0.066毫克/升，接近三类水质标准；湘江干流优质水质比例为100%。</w:t>
      </w:r>
    </w:p>
    <w:p>
      <w:pPr>
        <w:widowControl w:val="0"/>
        <w:spacing w:line="360" w:lineRule="auto"/>
        <w:ind w:firstLine="640" w:firstLineChars="200"/>
        <w:rPr>
          <w:rFonts w:hint="eastAsia" w:ascii="仿宋_GB2312" w:hAnsi="仿宋" w:eastAsia="仿宋_GB2312"/>
          <w:bCs/>
          <w:color w:val="000000"/>
          <w:sz w:val="32"/>
          <w:szCs w:val="32"/>
          <w:lang w:eastAsia="zh-CN"/>
        </w:rPr>
      </w:pPr>
      <w:r>
        <w:rPr>
          <w:rFonts w:hint="eastAsia" w:ascii="仿宋_GB2312" w:hAnsi="仿宋" w:eastAsia="仿宋_GB2312"/>
          <w:b w:val="0"/>
          <w:bCs/>
          <w:color w:val="000000"/>
          <w:sz w:val="32"/>
          <w:szCs w:val="32"/>
          <w:lang w:eastAsia="zh-CN"/>
        </w:rPr>
        <w:t>二是完成中央生态环境保护督察等突出问题整改情况。</w:t>
      </w:r>
      <w:r>
        <w:rPr>
          <w:rFonts w:ascii="仿宋_GB2312" w:hAnsi="仿宋" w:eastAsia="仿宋_GB2312"/>
          <w:bCs/>
          <w:color w:val="000000"/>
          <w:sz w:val="32"/>
          <w:szCs w:val="32"/>
          <w:lang w:eastAsia="zh-CN"/>
        </w:rPr>
        <w:t>将中央生态环境保护督察及“回头看”反馈问题整改作为“政治体检”，推动建立14位省级领导分片包干14个市州、4位省政府领导专项负责9个重点领域整改的工作机制，高位推动整改</w:t>
      </w:r>
      <w:r>
        <w:rPr>
          <w:rFonts w:hint="eastAsia" w:ascii="仿宋_GB2312" w:hAnsi="仿宋" w:eastAsia="仿宋_GB2312"/>
          <w:bCs/>
          <w:color w:val="000000"/>
          <w:sz w:val="32"/>
          <w:szCs w:val="32"/>
          <w:lang w:eastAsia="zh-CN"/>
        </w:rPr>
        <w:t>。截至11月底，中央环保督察反馈我省的76项整改任务，完成整改57项，基本完成整改4项，达到序时进度3项；中央生态环境保护督察“回头看”反馈的41项整改任务，完成整改13项；长江经济带生态环境警示片披露的18个突出问题有11个基本完成整改；全国人大水污染防治法执法检查共向我省反馈22个问题完成整改5个；省级环境保护督察反馈的611项整改任务，402项任务已完成整改，183项任务达到序时进度。</w:t>
      </w:r>
    </w:p>
    <w:p>
      <w:pPr>
        <w:widowControl w:val="0"/>
        <w:spacing w:line="360" w:lineRule="auto"/>
        <w:ind w:firstLine="640" w:firstLineChars="200"/>
        <w:rPr>
          <w:rFonts w:hint="eastAsia" w:ascii="楷体_GB2312" w:hAnsi="楷体_GB2312" w:eastAsia="楷体_GB2312" w:cs="楷体_GB2312"/>
          <w:sz w:val="32"/>
          <w:szCs w:val="32"/>
          <w:lang w:eastAsia="zh-CN"/>
        </w:rPr>
      </w:pPr>
      <w:r>
        <w:rPr>
          <w:rFonts w:hint="eastAsia" w:ascii="仿宋_GB2312" w:hAnsi="仿宋_GB2312" w:eastAsia="仿宋_GB2312" w:cs="仿宋_GB2312"/>
          <w:b w:val="0"/>
          <w:bCs w:val="0"/>
          <w:sz w:val="32"/>
          <w:szCs w:val="32"/>
          <w:lang w:eastAsia="zh-CN"/>
        </w:rPr>
        <w:t>三是圆满完成省级机构改革，</w:t>
      </w:r>
      <w:r>
        <w:rPr>
          <w:rFonts w:ascii="仿宋_GB2312" w:hAnsi="仿宋_GB2312" w:eastAsia="仿宋_GB2312" w:cs="仿宋_GB2312"/>
          <w:b w:val="0"/>
          <w:bCs w:val="0"/>
          <w:sz w:val="32"/>
          <w:szCs w:val="32"/>
          <w:lang w:eastAsia="zh-CN"/>
        </w:rPr>
        <w:t>认真研究制定省以下垂直管理改革“1+4”改革方案和文件</w:t>
      </w:r>
      <w:r>
        <w:rPr>
          <w:rFonts w:hint="eastAsia" w:ascii="仿宋_GB2312" w:hAnsi="仿宋_GB2312" w:eastAsia="仿宋_GB2312" w:cs="仿宋_GB2312"/>
          <w:b w:val="0"/>
          <w:bCs w:val="0"/>
          <w:sz w:val="32"/>
          <w:szCs w:val="32"/>
          <w:lang w:eastAsia="zh-CN"/>
        </w:rPr>
        <w:t>，并强力推进落实</w:t>
      </w:r>
      <w:r>
        <w:rPr>
          <w:rFonts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eastAsia="zh-CN"/>
        </w:rPr>
        <w:t>目前，</w:t>
      </w:r>
      <w:r>
        <w:rPr>
          <w:rFonts w:ascii="仿宋_GB2312" w:hAnsi="仿宋_GB2312" w:eastAsia="仿宋_GB2312" w:cs="仿宋_GB2312"/>
          <w:sz w:val="32"/>
          <w:szCs w:val="32"/>
          <w:lang w:eastAsia="zh-CN"/>
        </w:rPr>
        <w:t>市级机构改革调整基本完成，县级行政机构改革正在推进</w:t>
      </w:r>
      <w:r>
        <w:rPr>
          <w:rFonts w:hint="eastAsia" w:ascii="仿宋_GB2312" w:hAnsi="仿宋_GB2312" w:eastAsia="仿宋_GB2312" w:cs="仿宋_GB2312"/>
          <w:sz w:val="32"/>
          <w:szCs w:val="32"/>
          <w:lang w:eastAsia="zh-CN"/>
        </w:rPr>
        <w:t>，全省市州级生态环境部门共新增机构43个，增加人员编制87名</w:t>
      </w:r>
      <w:r>
        <w:rPr>
          <w:rFonts w:ascii="仿宋_GB2312" w:hAnsi="仿宋_GB2312" w:eastAsia="仿宋_GB2312" w:cs="仿宋_GB2312"/>
          <w:sz w:val="32"/>
          <w:szCs w:val="32"/>
          <w:lang w:eastAsia="zh-CN"/>
        </w:rPr>
        <w:t>；省委编办发文对省市两级生态环境监测机构进行了调整，统一更名、重新核定编制职数；上收市县生态环保督察职能，设立省级督察机构、配备督察专员，有序开展省级督察和日常督察；部分市州设置副处级以上执法机构，划转相关部门执法职能和人员，生态环境保护综合执法能力正在逐步形成</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lang w:eastAsia="zh-CN"/>
        </w:rPr>
        <w:t>切实加强监测、执法、督察、宣传、科技、信息化能力建设，生态环境应急指挥大厅、生态环境大数据资源中心和互联网+督察、执法、审批、监测、监控、政务、党建、宣传八个平台建设稳步推进。</w:t>
      </w:r>
    </w:p>
    <w:p>
      <w:pPr>
        <w:tabs>
          <w:tab w:val="left" w:pos="4680"/>
        </w:tabs>
        <w:adjustRightInd w:val="0"/>
        <w:snapToGrid w:val="0"/>
        <w:spacing w:line="360" w:lineRule="auto"/>
        <w:ind w:firstLine="640" w:firstLineChars="200"/>
        <w:rPr>
          <w:rFonts w:hint="eastAsia" w:ascii="黑体" w:hAnsi="黑体" w:eastAsia="黑体" w:cs="黑体"/>
          <w:color w:val="auto"/>
          <w:sz w:val="32"/>
          <w:szCs w:val="32"/>
          <w:lang w:eastAsia="zh-CN"/>
        </w:rPr>
      </w:pPr>
      <w:r>
        <w:rPr>
          <w:rFonts w:hint="eastAsia" w:ascii="黑体" w:hAnsi="黑体" w:eastAsia="黑体" w:cs="黑体"/>
          <w:sz w:val="32"/>
          <w:szCs w:val="32"/>
          <w:lang w:eastAsia="zh-CN"/>
        </w:rPr>
        <w:t>五、</w:t>
      </w:r>
      <w:bookmarkStart w:id="4" w:name="_Hlk42458153"/>
      <w:r>
        <w:rPr>
          <w:rFonts w:hint="eastAsia" w:ascii="黑体" w:hAnsi="黑体" w:eastAsia="黑体" w:cs="黑体"/>
          <w:color w:val="auto"/>
          <w:sz w:val="32"/>
          <w:szCs w:val="32"/>
          <w:lang w:eastAsia="zh-CN"/>
        </w:rPr>
        <w:t>预算管理、“三公”经费控制及厉行节约情况</w:t>
      </w:r>
      <w:bookmarkEnd w:id="4"/>
    </w:p>
    <w:p>
      <w:pPr>
        <w:spacing w:line="360" w:lineRule="auto"/>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为进一步加强我厅预算管理，我厅于2016年4月18日正式印发了《湖南省环境保护厅内部控制制度》（湘环办[2016]7号），内容涵盖对专项资金、机关财务、预决算、收支业务、资产、政府采购、合同等方面的管理和控制</w:t>
      </w:r>
      <w:r>
        <w:rPr>
          <w:rFonts w:hint="eastAsia" w:ascii="仿宋_GB2312" w:hAnsi="仿宋_GB2312" w:eastAsia="仿宋_GB2312" w:cs="仿宋_GB2312"/>
          <w:sz w:val="32"/>
          <w:szCs w:val="32"/>
          <w:lang w:eastAsia="zh-CN"/>
        </w:rPr>
        <w:t>。同时，我厅拟于今年对该内控制度进行修改，将近3年来中央、省印发预算管理、厉行节约等有关文件统筹进来。下一步，我厅还将出台《湖南省生态环境厅办公室关于进一步加强预算执行管理的通知》，进一步细化了预算编制、执行、监督、考核等规定。</w:t>
      </w:r>
    </w:p>
    <w:p>
      <w:pPr>
        <w:spacing w:line="360" w:lineRule="auto"/>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2019年度，我厅严格按照年初预算执行，预算管理基本到位。年初人大批复收入预算数为39359.08万元，收入决算为</w:t>
      </w:r>
      <w:r>
        <w:rPr>
          <w:rFonts w:hint="eastAsia" w:ascii="仿宋_GB2312" w:hAnsi="仿宋_GB2312" w:eastAsia="仿宋_GB2312" w:cs="仿宋_GB2312"/>
          <w:sz w:val="32"/>
          <w:szCs w:val="32"/>
          <w:lang w:eastAsia="zh-CN"/>
        </w:rPr>
        <w:t>99474.09</w:t>
      </w:r>
      <w:r>
        <w:rPr>
          <w:rFonts w:hint="eastAsia" w:ascii="仿宋_GB2312" w:hAnsi="仿宋_GB2312" w:eastAsia="仿宋_GB2312" w:cs="仿宋_GB2312"/>
          <w:color w:val="000000"/>
          <w:sz w:val="32"/>
          <w:szCs w:val="32"/>
          <w:lang w:eastAsia="zh-CN"/>
        </w:rPr>
        <w:t>万元，较年初预算相差较大的原因是中央财政年中追加了专项资金导致。</w:t>
      </w:r>
      <w:r>
        <w:rPr>
          <w:rFonts w:hint="eastAsia" w:ascii="仿宋_GB2312" w:hAnsi="仿宋_GB2312" w:eastAsia="仿宋_GB2312" w:cs="仿宋_GB2312"/>
          <w:sz w:val="32"/>
          <w:szCs w:val="32"/>
          <w:lang w:eastAsia="zh-CN"/>
        </w:rPr>
        <w:t>2019年，我厅系统实际支出51788.09万元，总体预算执行率为52.06%。其中：年初部门预算资金36066.66万元，支出31089.3万元，预算执行率86.2%，执行率基本正常。</w:t>
      </w:r>
    </w:p>
    <w:p>
      <w:pPr>
        <w:adjustRightInd/>
        <w:snapToGrid/>
        <w:spacing w:line="360" w:lineRule="auto"/>
        <w:ind w:firstLine="640" w:firstLineChars="200"/>
        <w:rPr>
          <w:rFonts w:hint="eastAsia" w:ascii="黑体" w:hAnsi="黑体" w:eastAsia="黑体" w:cs="黑体"/>
          <w:sz w:val="32"/>
          <w:szCs w:val="32"/>
          <w:lang w:eastAsia="zh-CN"/>
        </w:rPr>
      </w:pPr>
      <w:r>
        <w:rPr>
          <w:rFonts w:hint="eastAsia" w:ascii="仿宋_GB2312" w:hAnsi="仿宋_GB2312" w:eastAsia="仿宋_GB2312" w:cs="仿宋_GB2312"/>
          <w:color w:val="000000"/>
          <w:sz w:val="32"/>
          <w:szCs w:val="32"/>
          <w:lang w:eastAsia="zh-CN"/>
        </w:rPr>
        <w:t>按照中央及省委的规定，我厅严格控制“三公”、会议及办公经费支出，在厉行节约方便取得良好的效果。2019年我厅“三公”经费预算为379.8万元，实际支出272.46万元，较上年减少78.02万元。按照省财政厅的要求，我厅已于2019年3月在厅门户网站上公布了2019年部门预算编制说明，2019年部门决算待人大批复后再挂网公开，接受社会监督。</w:t>
      </w:r>
      <w:r>
        <w:rPr>
          <w:rFonts w:hint="eastAsia" w:ascii="黑体" w:hAnsi="黑体" w:eastAsia="黑体" w:cs="黑体"/>
          <w:sz w:val="32"/>
          <w:szCs w:val="32"/>
          <w:lang w:eastAsia="zh-CN"/>
        </w:rPr>
        <w:t>六、</w:t>
      </w:r>
      <w:r>
        <w:rPr>
          <w:rFonts w:hint="eastAsia" w:ascii="黑体" w:hAnsi="黑体" w:eastAsia="黑体" w:cs="黑体"/>
          <w:kern w:val="0"/>
          <w:sz w:val="32"/>
          <w:szCs w:val="32"/>
          <w:lang w:eastAsia="zh-CN"/>
        </w:rPr>
        <w:t>存在的主要问题</w:t>
      </w:r>
    </w:p>
    <w:p>
      <w:pPr>
        <w:spacing w:line="360" w:lineRule="auto"/>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问题主要表现在以下方面：</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是整体预算执行率缓慢。由于年中追加中央资金较多，项目前期工作不充分，导致部分中央专项资金滞留在单位，未形成支出。同时，预算编制的科学性仍需加强，部分预算单位的预算执行率依然偏低，项目实施进度缓慢。</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b w:val="0"/>
          <w:bCs w:val="0"/>
          <w:sz w:val="32"/>
          <w:szCs w:val="32"/>
          <w:lang w:eastAsia="zh-CN"/>
        </w:rPr>
        <w:t>是</w:t>
      </w:r>
      <w:r>
        <w:rPr>
          <w:rFonts w:hint="eastAsia" w:ascii="仿宋_GB2312" w:hAnsi="仿宋_GB2312" w:eastAsia="仿宋_GB2312" w:cs="仿宋_GB2312"/>
          <w:sz w:val="32"/>
          <w:szCs w:val="32"/>
          <w:lang w:eastAsia="zh-CN"/>
        </w:rPr>
        <w:t>部分绩效指标细化不够。如业务工作专项、环境保护与污染治理专项资金的产出指标、效益指标部分三级指标的设置尚缺乏科学衡量的依据。项目实施单位对项目经费使用绩效目标制定较为笼统，没有非常明确的可衡量的绩效指标。</w:t>
      </w:r>
    </w:p>
    <w:p>
      <w:pPr>
        <w:spacing w:line="360" w:lineRule="auto"/>
        <w:ind w:firstLine="640" w:firstLineChars="200"/>
        <w:rPr>
          <w:lang w:eastAsia="zh-CN"/>
        </w:rPr>
      </w:pPr>
      <w:r>
        <w:rPr>
          <w:rFonts w:hint="eastAsia" w:ascii="仿宋_GB2312" w:hAnsi="仿宋_GB2312" w:eastAsia="仿宋_GB2312" w:cs="仿宋_GB2312"/>
          <w:sz w:val="32"/>
          <w:szCs w:val="32"/>
          <w:lang w:eastAsia="zh-CN"/>
        </w:rPr>
        <w:t>三是个别市、州对项目绩效自评工作的认识没有完全到位，部分市县对考核工作的重视程度、责任分工、工作经费安排、部门协调配合等诸多方面还存在较大差距，转移支付资金使用情况不够明晰。部分县（市、区）对资金的使用、管理随意性较强，资金分配缺乏明确的预算和计划安排。</w:t>
      </w:r>
    </w:p>
    <w:p>
      <w:pPr>
        <w:adjustRightInd/>
        <w:snapToGrid/>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b w:val="0"/>
          <w:bCs w:val="0"/>
          <w:sz w:val="32"/>
          <w:szCs w:val="32"/>
          <w:lang w:eastAsia="zh-CN"/>
        </w:rPr>
        <w:t>是</w:t>
      </w:r>
      <w:r>
        <w:rPr>
          <w:rFonts w:hint="eastAsia" w:ascii="仿宋_GB2312" w:hAnsi="仿宋_GB2312" w:eastAsia="仿宋_GB2312" w:cs="仿宋_GB2312"/>
          <w:sz w:val="32"/>
          <w:szCs w:val="32"/>
          <w:lang w:eastAsia="zh-CN"/>
        </w:rPr>
        <w:t>个别项目未严格做到专款专用专账核算。评价过程中发现，个别项目单位未对专项资金进行专账核算；部分项目费用已发生但未对相关费用及时进行归集并进行账务处理。</w:t>
      </w:r>
    </w:p>
    <w:p>
      <w:pPr>
        <w:spacing w:line="360" w:lineRule="auto"/>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b w:val="0"/>
          <w:bCs w:val="0"/>
          <w:sz w:val="32"/>
          <w:szCs w:val="32"/>
          <w:lang w:eastAsia="zh-CN"/>
        </w:rPr>
        <w:t>是</w:t>
      </w:r>
      <w:r>
        <w:rPr>
          <w:rFonts w:hint="eastAsia" w:ascii="仿宋_GB2312" w:hAnsi="仿宋_GB2312" w:eastAsia="仿宋_GB2312" w:cs="仿宋_GB2312"/>
          <w:sz w:val="32"/>
          <w:szCs w:val="32"/>
          <w:lang w:eastAsia="zh-CN" w:bidi="en-US"/>
        </w:rPr>
        <w:t>项目配套资金到位难。主要是农村综合综治整体推进项目方面和</w:t>
      </w:r>
      <w:r>
        <w:rPr>
          <w:rFonts w:hint="eastAsia" w:ascii="仿宋_GB2312" w:hAnsi="仿宋_GB2312" w:eastAsia="仿宋_GB2312" w:cs="仿宋_GB2312"/>
          <w:sz w:val="32"/>
          <w:szCs w:val="32"/>
          <w:lang w:eastAsia="zh-CN"/>
        </w:rPr>
        <w:t>土壤</w:t>
      </w:r>
      <w:r>
        <w:rPr>
          <w:rFonts w:hint="eastAsia" w:ascii="仿宋_GB2312" w:hAnsi="仿宋_GB2312" w:eastAsia="仿宋_GB2312" w:cs="仿宋_GB2312"/>
          <w:sz w:val="32"/>
          <w:szCs w:val="32"/>
          <w:lang w:eastAsia="zh-CN" w:bidi="en-US"/>
        </w:rPr>
        <w:t>污染项目存在地方财政因资金困难，自筹资金没有及时到位的问题，在一定程度上影响了项目实施进度。</w:t>
      </w:r>
    </w:p>
    <w:p>
      <w:pPr>
        <w:widowControl/>
        <w:adjustRightInd/>
        <w:snapToGrid/>
        <w:spacing w:line="360" w:lineRule="auto"/>
        <w:ind w:firstLine="640" w:firstLineChars="200"/>
        <w:rPr>
          <w:rFonts w:hint="eastAsia" w:ascii="黑体" w:hAnsi="黑体" w:eastAsia="黑体" w:cs="黑体"/>
          <w:sz w:val="32"/>
          <w:szCs w:val="32"/>
          <w:lang w:eastAsia="zh-CN"/>
        </w:rPr>
      </w:pPr>
      <w:bookmarkStart w:id="5" w:name="_Toc25558"/>
      <w:r>
        <w:rPr>
          <w:rFonts w:hint="eastAsia" w:ascii="黑体" w:hAnsi="黑体" w:eastAsia="黑体" w:cs="黑体"/>
          <w:sz w:val="32"/>
          <w:szCs w:val="32"/>
          <w:lang w:eastAsia="zh-CN"/>
        </w:rPr>
        <w:t>七、下一步改进措施</w:t>
      </w:r>
      <w:bookmarkEnd w:id="5"/>
      <w:r>
        <w:rPr>
          <w:rFonts w:hint="eastAsia" w:ascii="黑体" w:hAnsi="黑体" w:eastAsia="黑体" w:cs="黑体"/>
          <w:sz w:val="32"/>
          <w:szCs w:val="32"/>
          <w:lang w:eastAsia="zh-CN"/>
        </w:rPr>
        <w:t>及工作计划</w:t>
      </w:r>
    </w:p>
    <w:p>
      <w:pPr>
        <w:adjustRightInd/>
        <w:snapToGrid/>
        <w:spacing w:line="360" w:lineRule="auto"/>
        <w:ind w:firstLine="640" w:firstLineChars="200"/>
        <w:rPr>
          <w:rFonts w:hint="eastAsia" w:ascii="仿宋_GB2312" w:hAnsi="仿宋_GB2312" w:eastAsia="仿宋_GB2312" w:cs="仿宋_GB2312"/>
          <w:b w:val="0"/>
          <w:bCs w:val="0"/>
          <w:sz w:val="32"/>
          <w:szCs w:val="32"/>
          <w:lang w:eastAsia="zh-CN" w:bidi="en-US"/>
        </w:rPr>
      </w:pPr>
      <w:bookmarkStart w:id="6" w:name="_Toc9413013"/>
      <w:r>
        <w:rPr>
          <w:rFonts w:hint="eastAsia" w:ascii="仿宋_GB2312" w:hAnsi="仿宋_GB2312" w:eastAsia="仿宋_GB2312" w:cs="仿宋_GB2312"/>
          <w:b w:val="0"/>
          <w:bCs w:val="0"/>
          <w:sz w:val="32"/>
          <w:szCs w:val="32"/>
          <w:lang w:eastAsia="zh-CN" w:bidi="en-US"/>
        </w:rPr>
        <w:t>（一）细化绩效目标，完善考核指标</w:t>
      </w:r>
      <w:bookmarkEnd w:id="6"/>
    </w:p>
    <w:p>
      <w:pPr>
        <w:adjustRightInd/>
        <w:snapToGrid/>
        <w:spacing w:line="360" w:lineRule="auto"/>
        <w:ind w:firstLine="640" w:firstLineChars="200"/>
        <w:rPr>
          <w:rFonts w:hint="eastAsia" w:ascii="仿宋_GB2312" w:hAnsi="仿宋_GB2312" w:eastAsia="仿宋_GB2312" w:cs="仿宋_GB2312"/>
          <w:sz w:val="32"/>
          <w:szCs w:val="32"/>
          <w:lang w:eastAsia="zh-CN" w:bidi="en-US"/>
        </w:rPr>
      </w:pPr>
      <w:r>
        <w:rPr>
          <w:rFonts w:hint="eastAsia" w:ascii="仿宋_GB2312" w:hAnsi="仿宋_GB2312" w:eastAsia="仿宋_GB2312" w:cs="仿宋_GB2312"/>
          <w:sz w:val="32"/>
          <w:szCs w:val="32"/>
          <w:lang w:eastAsia="zh-CN" w:bidi="en-US"/>
        </w:rPr>
        <w:t>我厅将加大预算绩效管理的学习，吸取成功单位的绩效管理经验，从申报项目的规范要求到过程管理直至最后项目的绩效评价，形成整套的系统流程。</w:t>
      </w:r>
    </w:p>
    <w:p>
      <w:pPr>
        <w:adjustRightInd/>
        <w:snapToGrid/>
        <w:spacing w:line="360" w:lineRule="auto"/>
        <w:ind w:firstLine="640" w:firstLineChars="200"/>
        <w:rPr>
          <w:rFonts w:hint="eastAsia" w:ascii="仿宋_GB2312" w:hAnsi="仿宋_GB2312" w:eastAsia="仿宋_GB2312" w:cs="仿宋_GB2312"/>
          <w:sz w:val="32"/>
          <w:szCs w:val="32"/>
          <w:lang w:eastAsia="zh-CN" w:bidi="en-US"/>
        </w:rPr>
      </w:pPr>
      <w:bookmarkStart w:id="7" w:name="_Toc9413014"/>
      <w:r>
        <w:rPr>
          <w:rFonts w:hint="eastAsia" w:ascii="仿宋_GB2312" w:hAnsi="仿宋_GB2312" w:eastAsia="仿宋_GB2312" w:cs="仿宋_GB2312"/>
          <w:b w:val="0"/>
          <w:bCs w:val="0"/>
          <w:sz w:val="32"/>
          <w:szCs w:val="32"/>
          <w:lang w:eastAsia="zh-CN" w:bidi="en-US"/>
        </w:rPr>
        <w:t>（二）加强对专项资金的检查力度</w:t>
      </w:r>
      <w:bookmarkEnd w:id="7"/>
    </w:p>
    <w:p>
      <w:pPr>
        <w:adjustRightInd/>
        <w:snapToGrid/>
        <w:spacing w:line="360" w:lineRule="auto"/>
        <w:ind w:firstLine="640" w:firstLineChars="200"/>
        <w:rPr>
          <w:rFonts w:hint="eastAsia" w:ascii="仿宋_GB2312" w:hAnsi="仿宋_GB2312" w:eastAsia="仿宋_GB2312" w:cs="仿宋_GB2312"/>
          <w:sz w:val="32"/>
          <w:szCs w:val="32"/>
          <w:lang w:eastAsia="zh-CN" w:bidi="en-US"/>
        </w:rPr>
      </w:pPr>
      <w:r>
        <w:rPr>
          <w:rFonts w:hint="eastAsia" w:ascii="仿宋_GB2312" w:hAnsi="仿宋_GB2312" w:eastAsia="仿宋_GB2312" w:cs="仿宋_GB2312"/>
          <w:sz w:val="32"/>
          <w:szCs w:val="32"/>
          <w:lang w:eastAsia="zh-CN" w:bidi="en-US"/>
        </w:rPr>
        <w:t>一是成立专项资金检查小组，定期抽查各市县项目资金的使用情况；二是重大项目要求项目单位必须选取第三方对项目资金使用进行审核；三是对资金管理不到位、项目监管力度不够的地区进行通报批评。</w:t>
      </w:r>
    </w:p>
    <w:p>
      <w:pPr>
        <w:adjustRightInd/>
        <w:snapToGrid/>
        <w:spacing w:line="360" w:lineRule="auto"/>
        <w:ind w:firstLine="640" w:firstLineChars="200"/>
        <w:rPr>
          <w:rFonts w:hint="eastAsia" w:ascii="仿宋_GB2312" w:hAnsi="仿宋_GB2312" w:eastAsia="仿宋_GB2312" w:cs="仿宋_GB2312"/>
          <w:b w:val="0"/>
          <w:bCs w:val="0"/>
          <w:sz w:val="32"/>
          <w:szCs w:val="32"/>
          <w:lang w:eastAsia="zh-CN" w:bidi="en-US"/>
        </w:rPr>
      </w:pPr>
      <w:bookmarkStart w:id="8" w:name="_Toc9413015"/>
      <w:r>
        <w:rPr>
          <w:rFonts w:hint="eastAsia" w:ascii="仿宋_GB2312" w:hAnsi="仿宋_GB2312" w:eastAsia="仿宋_GB2312" w:cs="仿宋_GB2312"/>
          <w:b w:val="0"/>
          <w:bCs w:val="0"/>
          <w:sz w:val="32"/>
          <w:szCs w:val="32"/>
          <w:lang w:eastAsia="zh-CN" w:bidi="en-US"/>
        </w:rPr>
        <w:t>（三）加强项目实施进度督查</w:t>
      </w:r>
      <w:bookmarkEnd w:id="8"/>
    </w:p>
    <w:p>
      <w:pPr>
        <w:adjustRightInd/>
        <w:snapToGrid/>
        <w:spacing w:line="360" w:lineRule="auto"/>
        <w:ind w:firstLine="640" w:firstLineChars="200"/>
        <w:rPr>
          <w:rFonts w:hint="eastAsia" w:ascii="仿宋_GB2312" w:hAnsi="仿宋_GB2312" w:eastAsia="仿宋_GB2312" w:cs="仿宋_GB2312"/>
          <w:sz w:val="32"/>
          <w:szCs w:val="32"/>
          <w:lang w:eastAsia="zh-CN" w:bidi="en-US"/>
        </w:rPr>
      </w:pPr>
      <w:r>
        <w:rPr>
          <w:rFonts w:hint="eastAsia" w:ascii="仿宋_GB2312" w:hAnsi="仿宋_GB2312" w:eastAsia="仿宋_GB2312" w:cs="仿宋_GB2312"/>
          <w:sz w:val="32"/>
          <w:szCs w:val="32"/>
          <w:lang w:eastAsia="zh-CN" w:bidi="en-US"/>
        </w:rPr>
        <w:t>加速推进项目建设，对目前项目实施没有达到预定进度、资金管理、档案管理欠佳的市县，予以重点督查。</w:t>
      </w:r>
    </w:p>
    <w:p>
      <w:pPr>
        <w:adjustRightInd/>
        <w:snapToGrid/>
        <w:spacing w:line="360" w:lineRule="auto"/>
        <w:ind w:firstLine="640" w:firstLineChars="200"/>
        <w:rPr>
          <w:rFonts w:hint="eastAsia" w:ascii="仿宋_GB2312" w:hAnsi="仿宋_GB2312" w:eastAsia="仿宋_GB2312" w:cs="仿宋_GB2312"/>
          <w:b w:val="0"/>
          <w:bCs w:val="0"/>
          <w:sz w:val="32"/>
          <w:szCs w:val="32"/>
          <w:lang w:eastAsia="zh-CN" w:bidi="en-US"/>
        </w:rPr>
      </w:pPr>
      <w:bookmarkStart w:id="9" w:name="_Toc9413016"/>
      <w:r>
        <w:rPr>
          <w:rFonts w:hint="eastAsia" w:ascii="仿宋_GB2312" w:hAnsi="仿宋_GB2312" w:eastAsia="仿宋_GB2312" w:cs="仿宋_GB2312"/>
          <w:b w:val="0"/>
          <w:bCs w:val="0"/>
          <w:sz w:val="32"/>
          <w:szCs w:val="32"/>
          <w:lang w:eastAsia="zh-CN" w:bidi="en-US"/>
        </w:rPr>
        <w:t>（四）积极运用绩效评价结果</w:t>
      </w:r>
      <w:bookmarkEnd w:id="9"/>
    </w:p>
    <w:p>
      <w:pPr>
        <w:adjustRightInd/>
        <w:snapToGrid/>
        <w:spacing w:line="360" w:lineRule="auto"/>
        <w:ind w:firstLine="640" w:firstLineChars="200"/>
        <w:rPr>
          <w:rFonts w:hint="eastAsia" w:ascii="仿宋_GB2312" w:hAnsi="仿宋_GB2312" w:eastAsia="仿宋_GB2312" w:cs="仿宋_GB2312"/>
          <w:sz w:val="32"/>
          <w:szCs w:val="32"/>
          <w:lang w:eastAsia="zh-CN" w:bidi="en-US"/>
        </w:rPr>
      </w:pPr>
      <w:r>
        <w:rPr>
          <w:rFonts w:hint="eastAsia" w:ascii="仿宋_GB2312" w:hAnsi="仿宋_GB2312" w:eastAsia="仿宋_GB2312" w:cs="仿宋_GB2312"/>
          <w:sz w:val="32"/>
          <w:szCs w:val="32"/>
          <w:lang w:eastAsia="zh-CN" w:bidi="en-US"/>
        </w:rPr>
        <w:t>2</w:t>
      </w:r>
      <w:r>
        <w:rPr>
          <w:rFonts w:hint="eastAsia" w:ascii="仿宋_GB2312" w:hAnsi="仿宋_GB2312" w:eastAsia="仿宋_GB2312" w:cs="仿宋_GB2312"/>
          <w:sz w:val="32"/>
          <w:szCs w:val="32"/>
          <w:lang w:eastAsia="zh-CN"/>
        </w:rPr>
        <w:t>021</w:t>
      </w:r>
      <w:r>
        <w:rPr>
          <w:rFonts w:hint="eastAsia" w:ascii="仿宋_GB2312" w:hAnsi="仿宋_GB2312" w:eastAsia="仿宋_GB2312" w:cs="仿宋_GB2312"/>
          <w:sz w:val="32"/>
          <w:szCs w:val="32"/>
          <w:lang w:eastAsia="zh-CN" w:bidi="en-US"/>
        </w:rPr>
        <w:t>年有关专项资金安排将充分吸纳、运用本次绩效评价结果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bidi="en-US"/>
        </w:rPr>
        <w:t>进一步促进项目单位加强项目及专项资金管理。</w:t>
      </w:r>
    </w:p>
    <w:p>
      <w:pPr>
        <w:autoSpaceDE/>
        <w:autoSpaceDN/>
        <w:adjustRightInd/>
        <w:snapToGrid/>
        <w:spacing w:line="360" w:lineRule="auto"/>
        <w:ind w:firstLine="640" w:firstLineChars="200"/>
        <w:jc w:val="left"/>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八、绩效自评结果拟应用和公开情况</w:t>
      </w:r>
    </w:p>
    <w:p>
      <w:pPr>
        <w:autoSpaceDE/>
        <w:autoSpaceDN/>
        <w:adjustRightInd/>
        <w:snapToGrid/>
        <w:spacing w:line="360" w:lineRule="auto"/>
        <w:ind w:firstLine="640" w:firstLineChars="200"/>
        <w:jc w:val="left"/>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kern w:val="0"/>
          <w:sz w:val="32"/>
          <w:szCs w:val="32"/>
          <w:lang w:eastAsia="zh-CN"/>
        </w:rPr>
        <w:t>我厅历来重视资金的绩效评价工作，以绩效评价结果作为预算编制的重要依据，将资金分配与绩效评价结果相结合，促进财政资金的有效利用。绩效评价结果较好的地区，在资金安排方面予以侧重，对评价结果不好的地区，予以适当削减。在绩效评价公开方面，我厅也按时、按要求在门户网站上对资金绩效</w:t>
      </w:r>
      <w:r>
        <w:rPr>
          <w:rFonts w:hint="eastAsia" w:ascii="仿宋_GB2312" w:hAnsi="仿宋_GB2312" w:eastAsia="仿宋_GB2312" w:cs="仿宋_GB2312"/>
          <w:sz w:val="32"/>
          <w:szCs w:val="32"/>
          <w:lang w:eastAsia="zh-CN"/>
        </w:rPr>
        <w:t>自</w:t>
      </w:r>
      <w:r>
        <w:rPr>
          <w:rFonts w:hint="eastAsia" w:ascii="仿宋_GB2312" w:hAnsi="仿宋_GB2312" w:eastAsia="仿宋_GB2312" w:cs="仿宋_GB2312"/>
          <w:kern w:val="0"/>
          <w:sz w:val="32"/>
          <w:szCs w:val="32"/>
          <w:lang w:eastAsia="zh-CN"/>
        </w:rPr>
        <w:t>评价情况进行了公开。</w:t>
      </w:r>
    </w:p>
    <w:p>
      <w:pPr>
        <w:autoSpaceDE/>
        <w:autoSpaceDN/>
        <w:adjustRightInd/>
        <w:snapToGrid/>
        <w:spacing w:line="360" w:lineRule="auto"/>
        <w:ind w:firstLine="640" w:firstLineChars="200"/>
        <w:jc w:val="left"/>
        <w:rPr>
          <w:rFonts w:hint="eastAsia" w:ascii="黑体" w:hAnsi="黑体" w:eastAsia="黑体" w:cs="黑体"/>
          <w:color w:val="auto"/>
          <w:kern w:val="0"/>
          <w:sz w:val="32"/>
          <w:szCs w:val="32"/>
          <w:lang w:eastAsia="zh-CN"/>
        </w:rPr>
      </w:pPr>
      <w:r>
        <w:rPr>
          <w:rFonts w:hint="eastAsia" w:ascii="黑体" w:hAnsi="黑体" w:eastAsia="黑体" w:cs="黑体"/>
          <w:color w:val="auto"/>
          <w:kern w:val="0"/>
          <w:sz w:val="32"/>
          <w:szCs w:val="32"/>
          <w:lang w:eastAsia="zh-CN"/>
        </w:rPr>
        <w:t>九、其他需要说明的情况或建议</w:t>
      </w:r>
    </w:p>
    <w:p>
      <w:pPr>
        <w:adjustRightInd w:val="0"/>
        <w:snapToGrid w:val="0"/>
        <w:spacing w:line="360" w:lineRule="auto"/>
        <w:ind w:firstLine="640" w:firstLineChars="2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eastAsia="zh-CN"/>
        </w:rPr>
        <w:t>针对部门整体支出执行过程中存在的客观问题，我厅提出以下建议：</w:t>
      </w:r>
    </w:p>
    <w:p>
      <w:pPr>
        <w:adjustRightInd w:val="0"/>
        <w:snapToGrid w:val="0"/>
        <w:spacing w:line="360" w:lineRule="auto"/>
        <w:ind w:firstLine="640" w:firstLineChars="2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Cs w:val="0"/>
          <w:sz w:val="32"/>
          <w:szCs w:val="32"/>
          <w:lang w:eastAsia="zh-CN"/>
        </w:rPr>
        <w:t>一是</w:t>
      </w:r>
      <w:r>
        <w:rPr>
          <w:rFonts w:hint="eastAsia" w:ascii="仿宋_GB2312" w:hAnsi="仿宋_GB2312" w:eastAsia="仿宋_GB2312" w:cs="仿宋_GB2312"/>
          <w:b w:val="0"/>
          <w:sz w:val="32"/>
          <w:szCs w:val="32"/>
          <w:lang w:eastAsia="zh-CN"/>
        </w:rPr>
        <w:t>请相关部门对“三公”经费预算酌情审批。我厅部分直属的公务车早已老化，费用较高，预算标准明显不够。按目前“预算、决算两个都不能超过”的要求，执行起来有较大的困难。建议“三公”经费按照实事求是的原则，在厉行节约的同时，做到不超预算即可。</w:t>
      </w:r>
    </w:p>
    <w:p>
      <w:pPr>
        <w:adjustRightInd/>
        <w:snapToGrid/>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lang w:eastAsia="zh-CN"/>
        </w:rPr>
        <w:t>二是</w:t>
      </w:r>
      <w:r>
        <w:rPr>
          <w:rFonts w:hint="eastAsia" w:ascii="仿宋_GB2312" w:hAnsi="仿宋_GB2312" w:eastAsia="仿宋_GB2312" w:cs="仿宋_GB2312"/>
          <w:sz w:val="32"/>
          <w:szCs w:val="32"/>
          <w:lang w:eastAsia="zh-CN"/>
        </w:rPr>
        <w:t>建议将资金绩效评价自评价工作时间周期延长。按目前的情况，绩效自评价工作在2-3月下达通知，要求4-5月底完成，今年因受疫情影响，时间有些许推迟。该时间段正是部门决算编制审核和年初预算资金下达的时间，工作任务繁重，时间紧迫。建议将自评价工作的时间周期延长至年中，有利于提高自评价工作的质量。</w:t>
      </w:r>
    </w:p>
    <w:p>
      <w:pPr>
        <w:adjustRightInd/>
        <w:snapToGrid/>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lang w:eastAsia="zh-CN"/>
        </w:rPr>
        <w:t>三是</w:t>
      </w:r>
      <w:r>
        <w:rPr>
          <w:rFonts w:hint="eastAsia" w:ascii="仿宋_GB2312" w:hAnsi="仿宋_GB2312" w:eastAsia="仿宋_GB2312" w:cs="仿宋_GB2312"/>
          <w:sz w:val="32"/>
          <w:szCs w:val="32"/>
          <w:lang w:eastAsia="zh-CN"/>
        </w:rPr>
        <w:t>进一步提高专项资金绩效评价的科学性。财政专项资金支持的种类繁多，涉及到基础设施建设、科技、环保、卫生、教育、农业、社会保障等社会各个领域，因此在进行专项资金绩效评价时也应当采取全面性与特殊性相结合的原则，在宏观上制定大的条款和评价体系来评价资金绩效，但对于具体的专项资金应当具体分析，不可一概而论。如经济效益和社会效益、整体效益和局部效益等因素都需要结合起来考虑。</w:t>
      </w:r>
    </w:p>
    <w:p>
      <w:pPr>
        <w:adjustRightInd/>
        <w:snapToGrid/>
        <w:spacing w:line="360" w:lineRule="auto"/>
        <w:ind w:firstLine="640" w:firstLineChars="200"/>
        <w:rPr>
          <w:rFonts w:hint="eastAsia" w:ascii="仿宋_GB2312" w:hAnsi="仿宋_GB2312" w:eastAsia="仿宋_GB2312" w:cs="仿宋_GB2312"/>
          <w:color w:val="auto"/>
          <w:sz w:val="32"/>
          <w:szCs w:val="32"/>
          <w:shd w:val="clear" w:color="auto" w:fill="auto"/>
          <w:lang w:eastAsia="zh-CN"/>
        </w:rPr>
      </w:pPr>
      <w:r>
        <w:rPr>
          <w:rFonts w:hint="eastAsia" w:ascii="仿宋_GB2312" w:hAnsi="仿宋_GB2312" w:eastAsia="仿宋_GB2312" w:cs="仿宋_GB2312"/>
          <w:b w:val="0"/>
          <w:bCs w:val="0"/>
          <w:sz w:val="32"/>
          <w:szCs w:val="32"/>
          <w:lang w:eastAsia="zh-CN"/>
        </w:rPr>
        <w:t>四是</w:t>
      </w:r>
      <w:r>
        <w:rPr>
          <w:rFonts w:hint="eastAsia" w:ascii="仿宋_GB2312" w:hAnsi="仿宋_GB2312" w:eastAsia="仿宋_GB2312" w:cs="仿宋_GB2312"/>
          <w:bCs w:val="0"/>
          <w:sz w:val="32"/>
          <w:szCs w:val="32"/>
          <w:lang w:eastAsia="zh-CN"/>
        </w:rPr>
        <w:t>进一步</w:t>
      </w:r>
      <w:r>
        <w:rPr>
          <w:rFonts w:hint="eastAsia" w:ascii="仿宋_GB2312" w:hAnsi="仿宋_GB2312" w:eastAsia="仿宋_GB2312" w:cs="仿宋_GB2312"/>
          <w:color w:val="auto"/>
          <w:sz w:val="32"/>
          <w:szCs w:val="32"/>
          <w:shd w:val="clear" w:color="auto" w:fill="auto"/>
          <w:lang w:eastAsia="zh-CN"/>
        </w:rPr>
        <w:t>构建评价标准体系，在评价标准的建立过程中，需要财政部门针对不同的领域与项目，针对不同的专项资金做出调查与计算，得出规范合理的参考标准来评价专项资金的各项指标是否达标，只有这样才能够保证资金绩效评价体系的完整性与科学性。</w:t>
      </w:r>
    </w:p>
    <w:p>
      <w:pPr>
        <w:adjustRightInd/>
        <w:snapToGrid/>
        <w:spacing w:line="360" w:lineRule="auto"/>
        <w:ind w:firstLine="640" w:firstLineChars="200"/>
        <w:rPr>
          <w:rFonts w:hint="default" w:ascii="仿宋_GB2312" w:hAnsi="仿宋_GB2312" w:eastAsia="仿宋_GB2312" w:cs="仿宋_GB2312"/>
          <w:color w:val="auto"/>
          <w:sz w:val="32"/>
          <w:szCs w:val="32"/>
          <w:shd w:val="clear" w:color="auto" w:fill="auto"/>
          <w:lang w:eastAsia="zh-CN"/>
        </w:rPr>
      </w:pPr>
      <w:r>
        <w:rPr>
          <w:rFonts w:hint="eastAsia" w:ascii="仿宋_GB2312" w:hAnsi="仿宋_GB2312" w:eastAsia="仿宋_GB2312" w:cs="仿宋_GB2312"/>
          <w:color w:val="auto"/>
          <w:sz w:val="32"/>
          <w:szCs w:val="32"/>
          <w:shd w:val="clear" w:color="auto" w:fill="auto"/>
          <w:lang w:eastAsia="zh-CN"/>
        </w:rPr>
        <w:t>综上，我厅</w:t>
      </w:r>
      <w:r>
        <w:rPr>
          <w:rFonts w:hint="eastAsia" w:ascii="仿宋_GB2312" w:hAnsi="仿宋_GB2312" w:eastAsia="仿宋_GB2312" w:cs="仿宋_GB2312"/>
          <w:color w:val="auto"/>
          <w:sz w:val="32"/>
          <w:szCs w:val="32"/>
          <w:shd w:val="clear" w:color="auto" w:fill="auto"/>
          <w:lang w:val="en-US" w:eastAsia="zh-CN"/>
        </w:rPr>
        <w:t>2019年度部门整体支出得分为90.2分，业务工作专项支出得分为93分，环境保护与污染治理专项得分为91.5分。</w:t>
      </w:r>
    </w:p>
    <w:p>
      <w:pPr>
        <w:adjustRightInd/>
        <w:snapToGrid/>
        <w:spacing w:line="360" w:lineRule="auto"/>
        <w:ind w:firstLine="640" w:firstLineChars="200"/>
        <w:rPr>
          <w:rFonts w:hint="eastAsia" w:ascii="仿宋_GB2312" w:hAnsi="仿宋_GB2312" w:eastAsia="仿宋_GB2312" w:cs="仿宋_GB2312"/>
          <w:sz w:val="32"/>
          <w:szCs w:val="32"/>
          <w:lang w:eastAsia="zh-CN"/>
        </w:rPr>
      </w:pPr>
    </w:p>
    <w:p>
      <w:pPr>
        <w:adjustRightInd/>
        <w:snapToGrid/>
        <w:spacing w:line="360" w:lineRule="auto"/>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adjustRightInd/>
        <w:snapToGrid/>
        <w:spacing w:line="360" w:lineRule="auto"/>
        <w:ind w:firstLine="5760" w:firstLineChars="18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湖南省生态环境厅</w:t>
      </w:r>
    </w:p>
    <w:p>
      <w:pPr>
        <w:ind w:firstLine="640" w:firstLineChars="200"/>
        <w:jc w:val="left"/>
        <w:rPr>
          <w:rFonts w:cs="黑体" w:asciiTheme="minorEastAsia" w:hAnsiTheme="minorEastAsia"/>
          <w:color w:val="000000"/>
          <w:kern w:val="0"/>
          <w:sz w:val="32"/>
          <w:szCs w:val="32"/>
        </w:rPr>
      </w:pPr>
      <w:r>
        <w:rPr>
          <w:rFonts w:hint="eastAsia" w:ascii="仿宋_GB2312" w:hAnsi="仿宋_GB2312" w:eastAsia="仿宋_GB2312" w:cs="仿宋_GB2312"/>
          <w:sz w:val="32"/>
          <w:szCs w:val="32"/>
          <w:lang w:eastAsia="zh-CN"/>
        </w:rPr>
        <w:t xml:space="preserve">                                 2020年6月9日</w:t>
      </w:r>
    </w:p>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9EE40"/>
    <w:multiLevelType w:val="singleLevel"/>
    <w:tmpl w:val="3479EE40"/>
    <w:lvl w:ilvl="0" w:tentative="0">
      <w:start w:val="1"/>
      <w:numFmt w:val="decimal"/>
      <w:suff w:val="nothing"/>
      <w:lvlText w:val="（%1）"/>
      <w:lvlJc w:val="left"/>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FEB61D6"/>
    <w:multiLevelType w:val="multilevel"/>
    <w:tmpl w:val="3FEB61D6"/>
    <w:lvl w:ilvl="0" w:tentative="0">
      <w:start w:val="1"/>
      <w:numFmt w:val="japaneseCounting"/>
      <w:lvlText w:val="%1、"/>
      <w:lvlJc w:val="left"/>
      <w:pPr>
        <w:ind w:left="720" w:hanging="720"/>
      </w:pPr>
      <w:rPr>
        <w:rFonts w:hint="default" w:cs="Times New Roman"/>
        <w:color w:val="auto"/>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69F087B"/>
    <w:multiLevelType w:val="multilevel"/>
    <w:tmpl w:val="769F087B"/>
    <w:lvl w:ilvl="0" w:tentative="0">
      <w:start w:val="1"/>
      <w:numFmt w:val="decimal"/>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文涛">
    <w15:presenceInfo w15:providerId="None" w15:userId="文涛"/>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dit="trackedChanges"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658A3"/>
    <w:rsid w:val="00074155"/>
    <w:rsid w:val="000A3F69"/>
    <w:rsid w:val="00152C6D"/>
    <w:rsid w:val="00162D39"/>
    <w:rsid w:val="001A67DB"/>
    <w:rsid w:val="001D51E5"/>
    <w:rsid w:val="001F0C3B"/>
    <w:rsid w:val="00214427"/>
    <w:rsid w:val="0025599D"/>
    <w:rsid w:val="00265724"/>
    <w:rsid w:val="0027426B"/>
    <w:rsid w:val="003479BD"/>
    <w:rsid w:val="003768D5"/>
    <w:rsid w:val="004506F9"/>
    <w:rsid w:val="004717A2"/>
    <w:rsid w:val="00491741"/>
    <w:rsid w:val="00500E5F"/>
    <w:rsid w:val="005122EF"/>
    <w:rsid w:val="00517C33"/>
    <w:rsid w:val="00523644"/>
    <w:rsid w:val="0054069E"/>
    <w:rsid w:val="005767CC"/>
    <w:rsid w:val="00590D9F"/>
    <w:rsid w:val="00595D26"/>
    <w:rsid w:val="005A74E6"/>
    <w:rsid w:val="005D4D55"/>
    <w:rsid w:val="005E2CFB"/>
    <w:rsid w:val="0062378F"/>
    <w:rsid w:val="00651EEC"/>
    <w:rsid w:val="006A351B"/>
    <w:rsid w:val="006B0422"/>
    <w:rsid w:val="006C1B53"/>
    <w:rsid w:val="006D7730"/>
    <w:rsid w:val="006E5284"/>
    <w:rsid w:val="006F3EB5"/>
    <w:rsid w:val="00702E34"/>
    <w:rsid w:val="00704395"/>
    <w:rsid w:val="00720FF1"/>
    <w:rsid w:val="00812ED5"/>
    <w:rsid w:val="008277D9"/>
    <w:rsid w:val="008350A0"/>
    <w:rsid w:val="008A3E8D"/>
    <w:rsid w:val="009237C4"/>
    <w:rsid w:val="00950252"/>
    <w:rsid w:val="00967F5D"/>
    <w:rsid w:val="009A0F95"/>
    <w:rsid w:val="009B3ADF"/>
    <w:rsid w:val="009C3B52"/>
    <w:rsid w:val="00A42218"/>
    <w:rsid w:val="00A70249"/>
    <w:rsid w:val="00B33BEA"/>
    <w:rsid w:val="00B57C9F"/>
    <w:rsid w:val="00B845B3"/>
    <w:rsid w:val="00B85D8B"/>
    <w:rsid w:val="00BE3674"/>
    <w:rsid w:val="00C3049A"/>
    <w:rsid w:val="00C31B1E"/>
    <w:rsid w:val="00C77645"/>
    <w:rsid w:val="00CE04C3"/>
    <w:rsid w:val="00CE76A0"/>
    <w:rsid w:val="00D148C6"/>
    <w:rsid w:val="00DD06FF"/>
    <w:rsid w:val="00DD5FE9"/>
    <w:rsid w:val="00E00C7A"/>
    <w:rsid w:val="00E55B68"/>
    <w:rsid w:val="00F74360"/>
    <w:rsid w:val="00FB462F"/>
    <w:rsid w:val="00FE16FA"/>
    <w:rsid w:val="00FE328A"/>
    <w:rsid w:val="01543047"/>
    <w:rsid w:val="01E32C38"/>
    <w:rsid w:val="01EE2E20"/>
    <w:rsid w:val="025B06FE"/>
    <w:rsid w:val="02724287"/>
    <w:rsid w:val="033A1F38"/>
    <w:rsid w:val="03721851"/>
    <w:rsid w:val="045656D0"/>
    <w:rsid w:val="0485714C"/>
    <w:rsid w:val="04B74DB0"/>
    <w:rsid w:val="05CE0558"/>
    <w:rsid w:val="09F25C5A"/>
    <w:rsid w:val="0BF54F37"/>
    <w:rsid w:val="0C8F4E2C"/>
    <w:rsid w:val="0CD223F8"/>
    <w:rsid w:val="0D2905FD"/>
    <w:rsid w:val="0D4C5D66"/>
    <w:rsid w:val="0F711C6D"/>
    <w:rsid w:val="0FBB40B8"/>
    <w:rsid w:val="0FDE2411"/>
    <w:rsid w:val="10935A48"/>
    <w:rsid w:val="11511971"/>
    <w:rsid w:val="15426ECF"/>
    <w:rsid w:val="17BE6E00"/>
    <w:rsid w:val="183538F5"/>
    <w:rsid w:val="19181001"/>
    <w:rsid w:val="19293504"/>
    <w:rsid w:val="1989724A"/>
    <w:rsid w:val="199A16B6"/>
    <w:rsid w:val="19BF6668"/>
    <w:rsid w:val="19FF36F8"/>
    <w:rsid w:val="1B746BF2"/>
    <w:rsid w:val="1BCB09D2"/>
    <w:rsid w:val="1BD13F59"/>
    <w:rsid w:val="1C04522E"/>
    <w:rsid w:val="1C4837F5"/>
    <w:rsid w:val="1C6520A3"/>
    <w:rsid w:val="1D4A045E"/>
    <w:rsid w:val="1D804F65"/>
    <w:rsid w:val="1DAD4091"/>
    <w:rsid w:val="1E0E729A"/>
    <w:rsid w:val="1EBF6670"/>
    <w:rsid w:val="1F2500CC"/>
    <w:rsid w:val="1F9264A8"/>
    <w:rsid w:val="21457256"/>
    <w:rsid w:val="21D22040"/>
    <w:rsid w:val="224C7613"/>
    <w:rsid w:val="22EA0AE5"/>
    <w:rsid w:val="22F3586C"/>
    <w:rsid w:val="23236F5A"/>
    <w:rsid w:val="243975BE"/>
    <w:rsid w:val="249B5342"/>
    <w:rsid w:val="251158C1"/>
    <w:rsid w:val="254309E6"/>
    <w:rsid w:val="2561152C"/>
    <w:rsid w:val="25756F46"/>
    <w:rsid w:val="26EA7B3D"/>
    <w:rsid w:val="271F4221"/>
    <w:rsid w:val="284C5B07"/>
    <w:rsid w:val="28CB7038"/>
    <w:rsid w:val="2A090C63"/>
    <w:rsid w:val="2A433584"/>
    <w:rsid w:val="2A7D5857"/>
    <w:rsid w:val="2B8233A1"/>
    <w:rsid w:val="2B98090D"/>
    <w:rsid w:val="2D73680A"/>
    <w:rsid w:val="2D742A0A"/>
    <w:rsid w:val="30483798"/>
    <w:rsid w:val="311D368A"/>
    <w:rsid w:val="31EC0CD6"/>
    <w:rsid w:val="327B6EB3"/>
    <w:rsid w:val="327E3EAD"/>
    <w:rsid w:val="33693A3D"/>
    <w:rsid w:val="33F018F1"/>
    <w:rsid w:val="342F1DAE"/>
    <w:rsid w:val="34424195"/>
    <w:rsid w:val="34E80867"/>
    <w:rsid w:val="3507247D"/>
    <w:rsid w:val="355B57B2"/>
    <w:rsid w:val="35C11BE0"/>
    <w:rsid w:val="360044A4"/>
    <w:rsid w:val="37F000CB"/>
    <w:rsid w:val="387F3A46"/>
    <w:rsid w:val="38E171F9"/>
    <w:rsid w:val="39767A28"/>
    <w:rsid w:val="39804DC4"/>
    <w:rsid w:val="3A471472"/>
    <w:rsid w:val="3AD13D0C"/>
    <w:rsid w:val="3B934962"/>
    <w:rsid w:val="3D9B6EE5"/>
    <w:rsid w:val="3DB80122"/>
    <w:rsid w:val="3E1B798D"/>
    <w:rsid w:val="3E24734D"/>
    <w:rsid w:val="3FA21726"/>
    <w:rsid w:val="40A10388"/>
    <w:rsid w:val="40F50E7A"/>
    <w:rsid w:val="413358A3"/>
    <w:rsid w:val="42154F90"/>
    <w:rsid w:val="42374551"/>
    <w:rsid w:val="42871A32"/>
    <w:rsid w:val="42925BBD"/>
    <w:rsid w:val="4331711D"/>
    <w:rsid w:val="45014DC1"/>
    <w:rsid w:val="452E28BB"/>
    <w:rsid w:val="46927205"/>
    <w:rsid w:val="46C53FA9"/>
    <w:rsid w:val="47203EC6"/>
    <w:rsid w:val="475417F4"/>
    <w:rsid w:val="47D96DD0"/>
    <w:rsid w:val="48291B63"/>
    <w:rsid w:val="49AD2F73"/>
    <w:rsid w:val="49C607A9"/>
    <w:rsid w:val="4A510000"/>
    <w:rsid w:val="4A9A7938"/>
    <w:rsid w:val="4B0A405A"/>
    <w:rsid w:val="4C4E6938"/>
    <w:rsid w:val="4D701AA9"/>
    <w:rsid w:val="4DE76F1B"/>
    <w:rsid w:val="4EA62072"/>
    <w:rsid w:val="4F434A9C"/>
    <w:rsid w:val="4FB21358"/>
    <w:rsid w:val="506C4F58"/>
    <w:rsid w:val="50B84062"/>
    <w:rsid w:val="557C7FEA"/>
    <w:rsid w:val="56D4218A"/>
    <w:rsid w:val="57124EF9"/>
    <w:rsid w:val="583749AA"/>
    <w:rsid w:val="58B16AE5"/>
    <w:rsid w:val="5903294F"/>
    <w:rsid w:val="59D31473"/>
    <w:rsid w:val="5AE46226"/>
    <w:rsid w:val="5BEB5180"/>
    <w:rsid w:val="5C205A86"/>
    <w:rsid w:val="5C464337"/>
    <w:rsid w:val="5C6114A1"/>
    <w:rsid w:val="5DE3255E"/>
    <w:rsid w:val="5EC80B42"/>
    <w:rsid w:val="5F5431EE"/>
    <w:rsid w:val="6134634F"/>
    <w:rsid w:val="62B3206F"/>
    <w:rsid w:val="63980E02"/>
    <w:rsid w:val="659F651D"/>
    <w:rsid w:val="675567CB"/>
    <w:rsid w:val="677B3E49"/>
    <w:rsid w:val="698E3869"/>
    <w:rsid w:val="69E163E2"/>
    <w:rsid w:val="6A08321B"/>
    <w:rsid w:val="6A5920E9"/>
    <w:rsid w:val="6AA123D5"/>
    <w:rsid w:val="6B994E22"/>
    <w:rsid w:val="6C0F181C"/>
    <w:rsid w:val="6C6F523D"/>
    <w:rsid w:val="6D052D66"/>
    <w:rsid w:val="6D4D008C"/>
    <w:rsid w:val="6E3B1E57"/>
    <w:rsid w:val="6EBE321C"/>
    <w:rsid w:val="71625F90"/>
    <w:rsid w:val="71857DB8"/>
    <w:rsid w:val="719E703E"/>
    <w:rsid w:val="73272588"/>
    <w:rsid w:val="73F035A6"/>
    <w:rsid w:val="744273BB"/>
    <w:rsid w:val="75815309"/>
    <w:rsid w:val="759266C0"/>
    <w:rsid w:val="77026C16"/>
    <w:rsid w:val="776B2A55"/>
    <w:rsid w:val="77C24E5B"/>
    <w:rsid w:val="77DF108F"/>
    <w:rsid w:val="78A93722"/>
    <w:rsid w:val="78E42F55"/>
    <w:rsid w:val="79BA3563"/>
    <w:rsid w:val="79D27927"/>
    <w:rsid w:val="79F01A45"/>
    <w:rsid w:val="7A9B7E6F"/>
    <w:rsid w:val="7BA43AF5"/>
    <w:rsid w:val="7BD4377E"/>
    <w:rsid w:val="7C262B49"/>
    <w:rsid w:val="7CFC0F43"/>
    <w:rsid w:val="7D5903E2"/>
    <w:rsid w:val="7D625C34"/>
    <w:rsid w:val="7E5F74BF"/>
    <w:rsid w:val="7E8A6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spacing w:before="240" w:after="60"/>
      <w:outlineLvl w:val="0"/>
    </w:pPr>
    <w:rPr>
      <w:rFonts w:ascii="Cambria" w:hAnsi="Cambria" w:eastAsia="宋体"/>
      <w:b/>
      <w:bCs/>
      <w:kern w:val="32"/>
      <w:sz w:val="32"/>
      <w:szCs w:val="32"/>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7"/>
    <w:link w:val="3"/>
    <w:semiHidden/>
    <w:qFormat/>
    <w:uiPriority w:val="99"/>
    <w:rPr>
      <w:sz w:val="18"/>
      <w:szCs w:val="18"/>
    </w:rPr>
  </w:style>
  <w:style w:type="paragraph" w:customStyle="1" w:styleId="14">
    <w:name w:val="Header or footer|2"/>
    <w:basedOn w:val="1"/>
    <w:qFormat/>
    <w:uiPriority w:val="0"/>
    <w:pPr>
      <w:widowControl w:val="0"/>
      <w:shd w:val="clear" w:color="auto" w:fill="auto"/>
    </w:pPr>
    <w:rPr>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CA967F-99A7-44AE-8CB3-A0222E97AF6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57</Pages>
  <Words>23420</Words>
  <Characters>40931</Characters>
  <Lines>59</Lines>
  <Paragraphs>16</Paragraphs>
  <TotalTime>8</TotalTime>
  <ScaleCrop>false</ScaleCrop>
  <LinksUpToDate>false</LinksUpToDate>
  <CharactersWithSpaces>42355</CharactersWithSpaces>
  <Application>WPS Office_10.8.2.7030_F1E327BC-269C-435d-A152-05C5408002CA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刘锋</cp:lastModifiedBy>
  <cp:lastPrinted>2020-07-15T07:25:00Z</cp:lastPrinted>
  <dcterms:modified xsi:type="dcterms:W3CDTF">2021-07-02T05:38:21Z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2052-10.8.2.7030</vt:lpwstr>
  </property>
</Properties>
</file>